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Pr="00051048" w:rsidRDefault="00051048" w:rsidP="00FE2CA6">
      <w:pPr>
        <w:rPr>
          <w:rFonts w:cs="Arial"/>
          <w:bCs/>
          <w:color w:val="000000"/>
          <w:sz w:val="16"/>
          <w:szCs w:val="20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bookmarkStart w:id="0" w:name="_GoBack"/>
      <w:bookmarkEnd w:id="0"/>
    </w:p>
    <w:p w:rsidR="001B0993" w:rsidRPr="00051048" w:rsidRDefault="001B0993" w:rsidP="001B0993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Pr="00E411B6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Pr="00161F1B" w:rsidRDefault="0032651D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</w:t>
      </w:r>
      <w:r w:rsidR="00C05B1B">
        <w:rPr>
          <w:rFonts w:cs="Arial"/>
        </w:rPr>
        <w:t>6. 11. 2024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</w:tcPr>
          <w:p w:rsidR="0032651D" w:rsidRDefault="00C05B1B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SOFINANCIRANJA OBRTNO</w:t>
            </w:r>
            <w:r w:rsidR="004A1B5F">
              <w:rPr>
                <w:rFonts w:cs="Arial"/>
                <w:b/>
                <w:bCs/>
                <w:color w:val="000000"/>
                <w:szCs w:val="22"/>
              </w:rPr>
              <w:t xml:space="preserve"> – </w:t>
            </w:r>
            <w:r>
              <w:rPr>
                <w:rFonts w:cs="Arial"/>
                <w:b/>
                <w:bCs/>
                <w:color w:val="000000"/>
                <w:szCs w:val="22"/>
              </w:rPr>
              <w:t>PODJETNIŠKE ZBORNICE RADLJE OB DRAVI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</w:tcPr>
          <w:p w:rsidR="0032651D" w:rsidRPr="0032651D" w:rsidRDefault="00C05B1B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Občinska uprava in OOZ Radlje ob Dravi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</w:tcPr>
          <w:p w:rsidR="0032651D" w:rsidRPr="0032651D" w:rsidRDefault="00C05B1B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349" w:type="dxa"/>
          </w:tcPr>
          <w:p w:rsidR="0032651D" w:rsidRPr="0032651D" w:rsidRDefault="00C05B1B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/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</w:tcPr>
          <w:p w:rsidR="0032651D" w:rsidRDefault="004A1B5F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</w:p>
        </w:tc>
      </w:tr>
      <w:tr w:rsidR="0032651D" w:rsidTr="00AB49FD">
        <w:tc>
          <w:tcPr>
            <w:tcW w:w="2711" w:type="dxa"/>
            <w:tcBorders>
              <w:bottom w:val="nil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bottom w:val="nil"/>
            </w:tcBorders>
          </w:tcPr>
          <w:p w:rsidR="0032651D" w:rsidRPr="00C05B1B" w:rsidRDefault="00C05B1B" w:rsidP="00C05B1B">
            <w:pPr>
              <w:pStyle w:val="Brezrazmikov"/>
              <w:jc w:val="both"/>
              <w:rPr>
                <w:rFonts w:cs="Arial"/>
                <w:bCs/>
                <w:color w:val="000000"/>
                <w:szCs w:val="20"/>
              </w:rPr>
            </w:pPr>
            <w:r w:rsidRPr="00C05B1B">
              <w:rPr>
                <w:rFonts w:cs="Arial"/>
                <w:b/>
                <w:szCs w:val="20"/>
                <w:shd w:val="clear" w:color="auto" w:fill="FFFFFF"/>
              </w:rPr>
              <w:t>Zakon o javnih financah</w:t>
            </w:r>
            <w:r>
              <w:rPr>
                <w:rFonts w:cs="Arial"/>
                <w:szCs w:val="20"/>
                <w:shd w:val="clear" w:color="auto" w:fill="FFFFFF"/>
              </w:rPr>
              <w:t xml:space="preserve"> (</w:t>
            </w:r>
            <w:r w:rsidRPr="00C05B1B">
              <w:rPr>
                <w:rFonts w:cs="Arial"/>
                <w:szCs w:val="20"/>
                <w:shd w:val="clear" w:color="auto" w:fill="FFFFFF"/>
              </w:rPr>
              <w:t>Uradni list RS, št. </w:t>
            </w:r>
            <w:hyperlink r:id="rId6" w:tgtFrame="_blank" w:tooltip="Zakon o javnih financah (uradno prečiščeno besedilo) (ZJF-UPB4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11/11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uradno prečiščeno besedilo, </w:t>
            </w:r>
            <w:hyperlink r:id="rId7" w:tgtFrame="_blank" w:tooltip="Popravek Uradnega prečiščenega besedila Zakona  o javnih financah (ZJF-UPB4p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14/13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 xml:space="preserve"> – </w:t>
            </w:r>
            <w:proofErr w:type="spellStart"/>
            <w:r w:rsidRPr="00C05B1B">
              <w:rPr>
                <w:rFonts w:cs="Arial"/>
                <w:szCs w:val="20"/>
                <w:shd w:val="clear" w:color="auto" w:fill="FFFFFF"/>
              </w:rPr>
              <w:t>popr</w:t>
            </w:r>
            <w:proofErr w:type="spellEnd"/>
            <w:r w:rsidRPr="00C05B1B">
              <w:rPr>
                <w:rFonts w:cs="Arial"/>
                <w:szCs w:val="20"/>
                <w:shd w:val="clear" w:color="auto" w:fill="FFFFFF"/>
              </w:rPr>
              <w:t>., </w:t>
            </w:r>
            <w:hyperlink r:id="rId8" w:tgtFrame="_blank" w:tooltip="Zakon o dopolnitvi Zakona o javnih financah (ZJF-G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101/13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, </w:t>
            </w:r>
            <w:hyperlink r:id="rId9" w:tgtFrame="_blank" w:tooltip="Zakon o fiskalnem pravilu (ZFisP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55/15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 xml:space="preserve"> – </w:t>
            </w:r>
            <w:proofErr w:type="spellStart"/>
            <w:r w:rsidRPr="00C05B1B">
              <w:rPr>
                <w:rFonts w:cs="Arial"/>
                <w:szCs w:val="20"/>
                <w:shd w:val="clear" w:color="auto" w:fill="FFFFFF"/>
              </w:rPr>
              <w:t>ZFisP</w:t>
            </w:r>
            <w:proofErr w:type="spellEnd"/>
            <w:r w:rsidRPr="00C05B1B">
              <w:rPr>
                <w:rFonts w:cs="Arial"/>
                <w:szCs w:val="20"/>
                <w:shd w:val="clear" w:color="auto" w:fill="FFFFFF"/>
              </w:rPr>
              <w:t>, </w:t>
            </w:r>
            <w:hyperlink r:id="rId10" w:tgtFrame="_blank" w:tooltip="Zakon o izvrševanju proračunov Republike Slovenije za leti 2016 in 2017 (ZIPRS1617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96/15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ZIPRS1617, </w:t>
            </w:r>
            <w:hyperlink r:id="rId11" w:tgtFrame="_blank" w:tooltip="Zakon o spremembah in dopolnitvah Zakona o javnih financah (ZJF-H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13/18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, </w:t>
            </w:r>
            <w:hyperlink r:id="rId12" w:tgtFrame="_blank" w:tooltip="Odločba o razveljavitvi 20. člena, drugega odstavka 40. člena, prvega odstavka 103. člena v zvezi s prvim in drugim odstavkom 102. člena Zakona o javnih financah, kolikor se nanašajo na Državni svet, Ustavno sodišče, Varuha človekovih pravic in Računsko sodišč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195/20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 xml:space="preserve"> – </w:t>
            </w:r>
            <w:proofErr w:type="spellStart"/>
            <w:r w:rsidRPr="00C05B1B">
              <w:rPr>
                <w:rFonts w:cs="Arial"/>
                <w:szCs w:val="20"/>
                <w:shd w:val="clear" w:color="auto" w:fill="FFFFFF"/>
              </w:rPr>
              <w:t>odl</w:t>
            </w:r>
            <w:proofErr w:type="spellEnd"/>
            <w:r w:rsidRPr="00C05B1B">
              <w:rPr>
                <w:rFonts w:cs="Arial"/>
                <w:szCs w:val="20"/>
                <w:shd w:val="clear" w:color="auto" w:fill="FFFFFF"/>
              </w:rPr>
              <w:t>. US, </w:t>
            </w:r>
            <w:hyperlink r:id="rId13" w:tgtFrame="_blank" w:tooltip="Zakon o spremembah in dopolnitvah Zakona o državni upravi (ZDU-1O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18/23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ZDU-1O in </w:t>
            </w:r>
            <w:hyperlink r:id="rId14" w:tgtFrame="_blank" w:tooltip="Zakon o spremembah in dopolnitvah Zakona o javnih financah (ZJF-I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76/23</w:t>
              </w:r>
            </w:hyperlink>
          </w:p>
        </w:tc>
      </w:tr>
      <w:tr w:rsidR="0032651D" w:rsidTr="00AB49FD">
        <w:tc>
          <w:tcPr>
            <w:tcW w:w="2711" w:type="dxa"/>
            <w:tcBorders>
              <w:right w:val="nil"/>
            </w:tcBorders>
          </w:tcPr>
          <w:p w:rsidR="00AB49FD" w:rsidRDefault="00AB49F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OBRAZLOŽITEV:</w:t>
            </w:r>
          </w:p>
        </w:tc>
        <w:tc>
          <w:tcPr>
            <w:tcW w:w="6349" w:type="dxa"/>
            <w:tcBorders>
              <w:left w:val="nil"/>
            </w:tcBorders>
          </w:tcPr>
          <w:p w:rsidR="0032651D" w:rsidRPr="0032651D" w:rsidRDefault="0032651D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</w:p>
        </w:tc>
      </w:tr>
    </w:tbl>
    <w:p w:rsidR="001B0993" w:rsidRPr="00161F1B" w:rsidRDefault="00C05B1B" w:rsidP="004E5125">
      <w:pPr>
        <w:autoSpaceDE w:val="0"/>
        <w:autoSpaceDN w:val="0"/>
        <w:adjustRightInd w:val="0"/>
        <w:ind w:left="-22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V želji po vzpostavitvi učinkovitega sodelovanja, je Območna obrtno – podjetniška zbornica Radlje ob Dravi na občino posredovala predlog pogodbe o sofinanciranju </w:t>
      </w:r>
      <w:r w:rsidR="004E5125">
        <w:rPr>
          <w:rFonts w:cs="Arial"/>
          <w:bCs/>
          <w:color w:val="000000"/>
          <w:szCs w:val="22"/>
        </w:rPr>
        <w:t xml:space="preserve">dejavnosti zbornice v letu 2025.   Iz dodatnih obrazložitev je razvidno, kakšne storitve vse zbornica nudi in bi se jih lahko podjetniki iz Občine Ribnica na Pohorju posluževali. </w:t>
      </w:r>
    </w:p>
    <w:p w:rsidR="001B0993" w:rsidRPr="00161F1B" w:rsidRDefault="00FE2CA6" w:rsidP="001B09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                                                                       </w:t>
      </w:r>
    </w:p>
    <w:p w:rsidR="001B0993" w:rsidRPr="00161F1B" w:rsidRDefault="001B0993" w:rsidP="001B09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Pr="00161F1B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</w:p>
    <w:p w:rsidR="001B0993" w:rsidRPr="00161F1B" w:rsidRDefault="001B0993" w:rsidP="001B0993">
      <w:pPr>
        <w:tabs>
          <w:tab w:val="left" w:pos="5930"/>
        </w:tabs>
        <w:autoSpaceDE w:val="0"/>
        <w:autoSpaceDN w:val="0"/>
        <w:adjustRightInd w:val="0"/>
        <w:ind w:left="5670"/>
        <w:rPr>
          <w:rFonts w:cs="Arial"/>
          <w:color w:val="000000"/>
          <w:szCs w:val="22"/>
        </w:rPr>
      </w:pPr>
    </w:p>
    <w:p w:rsidR="001B0993" w:rsidRPr="00161F1B" w:rsidRDefault="001B0993" w:rsidP="001B0993">
      <w:pPr>
        <w:autoSpaceDE w:val="0"/>
        <w:autoSpaceDN w:val="0"/>
        <w:adjustRightInd w:val="0"/>
        <w:rPr>
          <w:rFonts w:cs="Arial"/>
          <w:szCs w:val="22"/>
        </w:rPr>
      </w:pPr>
    </w:p>
    <w:p w:rsidR="001B0993" w:rsidRPr="00161F1B" w:rsidRDefault="001B0993" w:rsidP="001B0993">
      <w:pPr>
        <w:rPr>
          <w:rFonts w:cs="Arial"/>
          <w:szCs w:val="22"/>
        </w:rPr>
      </w:pPr>
    </w:p>
    <w:p w:rsidR="001B0993" w:rsidRPr="00161F1B" w:rsidRDefault="001B0993" w:rsidP="001B0993">
      <w:pPr>
        <w:jc w:val="both"/>
        <w:rPr>
          <w:sz w:val="22"/>
          <w:szCs w:val="22"/>
        </w:rPr>
      </w:pPr>
    </w:p>
    <w:p w:rsidR="001B0993" w:rsidRPr="00161F1B" w:rsidRDefault="001B0993"/>
    <w:sectPr w:rsidR="001B0993" w:rsidRPr="00161F1B" w:rsidSect="00E411B6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51048"/>
    <w:rsid w:val="00140F67"/>
    <w:rsid w:val="00161F1B"/>
    <w:rsid w:val="001B0993"/>
    <w:rsid w:val="00317A29"/>
    <w:rsid w:val="0032651D"/>
    <w:rsid w:val="003D4472"/>
    <w:rsid w:val="003F1CEE"/>
    <w:rsid w:val="004A1B5F"/>
    <w:rsid w:val="004E5125"/>
    <w:rsid w:val="0051375E"/>
    <w:rsid w:val="005C3725"/>
    <w:rsid w:val="00694016"/>
    <w:rsid w:val="006E242B"/>
    <w:rsid w:val="00937A74"/>
    <w:rsid w:val="00A850F1"/>
    <w:rsid w:val="00A9686B"/>
    <w:rsid w:val="00AB49FD"/>
    <w:rsid w:val="00AF1460"/>
    <w:rsid w:val="00B6079A"/>
    <w:rsid w:val="00C05B1B"/>
    <w:rsid w:val="00C406D8"/>
    <w:rsid w:val="00C93FC5"/>
    <w:rsid w:val="00E37853"/>
    <w:rsid w:val="00E411B6"/>
    <w:rsid w:val="00FE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C05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3-01-3677" TargetMode="External"/><Relationship Id="rId13" Type="http://schemas.openxmlformats.org/officeDocument/2006/relationships/hyperlink" Target="https://www.uradni-list.si/glasilo-uradni-list-rs/vsebina/2023-01-03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13-21-0433" TargetMode="External"/><Relationship Id="rId12" Type="http://schemas.openxmlformats.org/officeDocument/2006/relationships/hyperlink" Target="https://www.uradni-list.si/glasilo-uradni-list-rs/vsebina/2020-01-35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uradni-list.si/glasilo-uradni-list-rs/vsebina/2011-01-0449" TargetMode="External"/><Relationship Id="rId11" Type="http://schemas.openxmlformats.org/officeDocument/2006/relationships/hyperlink" Target="https://www.uradni-list.si/glasilo-uradni-list-rs/vsebina/2018-01-0544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uradni-list.si/glasilo-uradni-list-rs/vsebina/2015-01-37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5-01-2277" TargetMode="External"/><Relationship Id="rId14" Type="http://schemas.openxmlformats.org/officeDocument/2006/relationships/hyperlink" Target="https://www.uradni-list.si/glasilo-uradni-list-rs/vsebina/2023-01-2386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6</cp:revision>
  <dcterms:created xsi:type="dcterms:W3CDTF">2022-02-11T09:30:00Z</dcterms:created>
  <dcterms:modified xsi:type="dcterms:W3CDTF">2024-11-11T06:37:00Z</dcterms:modified>
</cp:coreProperties>
</file>