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E411B6" w:rsidP="00E411B6">
      <w:pPr>
        <w:rPr>
          <w:rFonts w:cs="Arial"/>
          <w:b/>
          <w:caps/>
          <w:szCs w:val="20"/>
        </w:rPr>
      </w:pPr>
      <w:r w:rsidRPr="00E411B6">
        <w:rPr>
          <w:noProof/>
          <w:szCs w:val="20"/>
          <w:lang w:eastAsia="sl-SI"/>
        </w:rPr>
        <w:drawing>
          <wp:anchor distT="0" distB="0" distL="114300" distR="114300" simplePos="0" relativeHeight="251659264" behindDoc="0" locked="0" layoutInCell="1" allowOverlap="1" wp14:anchorId="73FAB59D" wp14:editId="7416501A">
            <wp:simplePos x="0" y="0"/>
            <wp:positionH relativeFrom="leftMargin">
              <wp:posOffset>492760</wp:posOffset>
            </wp:positionH>
            <wp:positionV relativeFrom="paragraph">
              <wp:posOffset>3175</wp:posOffset>
            </wp:positionV>
            <wp:extent cx="246380" cy="307340"/>
            <wp:effectExtent l="0" t="0" r="1270"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1B0993" w:rsidRPr="00C12400" w:rsidRDefault="00051048" w:rsidP="00353276">
      <w:pPr>
        <w:pStyle w:val="Brezrazmikov"/>
        <w:rPr>
          <w:bCs/>
          <w:color w:val="000000"/>
          <w:sz w:val="18"/>
          <w:szCs w:val="20"/>
        </w:rPr>
      </w:pPr>
      <w:r w:rsidRPr="00051048">
        <w:t>Ribnica</w:t>
      </w:r>
      <w:r>
        <w:t xml:space="preserve"> </w:t>
      </w:r>
      <w:r w:rsidRPr="00051048">
        <w:t>na Pohorju 1</w:t>
      </w:r>
      <w:r>
        <w:t>, 23</w:t>
      </w:r>
      <w:r w:rsidRPr="00051048">
        <w:t>64 Ribnica na Pohorju</w:t>
      </w:r>
      <w:r>
        <w:tab/>
      </w:r>
      <w:r>
        <w:tab/>
      </w:r>
      <w:r>
        <w:tab/>
      </w:r>
      <w:r>
        <w:tab/>
      </w:r>
    </w:p>
    <w:p w:rsidR="001B0993" w:rsidRPr="00051048" w:rsidRDefault="001B0993" w:rsidP="001B0993">
      <w:pPr>
        <w:autoSpaceDE w:val="0"/>
        <w:autoSpaceDN w:val="0"/>
        <w:adjustRightInd w:val="0"/>
        <w:rPr>
          <w:rFonts w:cs="Arial"/>
          <w:color w:val="000000"/>
          <w:sz w:val="18"/>
          <w:szCs w:val="22"/>
        </w:rPr>
      </w:pPr>
    </w:p>
    <w:p w:rsidR="00E37853" w:rsidRPr="00C406D8" w:rsidRDefault="004A3489" w:rsidP="001B0993">
      <w:pPr>
        <w:tabs>
          <w:tab w:val="left" w:pos="1650"/>
        </w:tabs>
        <w:autoSpaceDE w:val="0"/>
        <w:autoSpaceDN w:val="0"/>
        <w:adjustRightInd w:val="0"/>
        <w:rPr>
          <w:rFonts w:cs="Arial"/>
          <w:b/>
          <w:color w:val="000000"/>
          <w:szCs w:val="20"/>
        </w:rPr>
      </w:pPr>
      <w:r>
        <w:rPr>
          <w:rFonts w:cs="Arial"/>
          <w:b/>
        </w:rPr>
        <w:t>OBČINSKI SVET</w:t>
      </w:r>
      <w:r w:rsidR="00E37853">
        <w:rPr>
          <w:rFonts w:cs="Arial"/>
          <w:b/>
        </w:rPr>
        <w:tab/>
      </w:r>
      <w:r w:rsidR="00E37853">
        <w:rPr>
          <w:rFonts w:cs="Arial"/>
          <w:b/>
        </w:rPr>
        <w:tab/>
      </w:r>
      <w:r w:rsidR="00E37853">
        <w:rPr>
          <w:rFonts w:cs="Arial"/>
          <w:b/>
        </w:rPr>
        <w:tab/>
      </w:r>
      <w:r w:rsidR="00E37853">
        <w:rPr>
          <w:rFonts w:cs="Arial"/>
          <w:b/>
        </w:rPr>
        <w:tab/>
      </w:r>
    </w:p>
    <w:p w:rsidR="001B0993" w:rsidRPr="00E411B6" w:rsidRDefault="001B0993" w:rsidP="001B0993">
      <w:pPr>
        <w:tabs>
          <w:tab w:val="left" w:pos="1650"/>
        </w:tabs>
        <w:autoSpaceDE w:val="0"/>
        <w:autoSpaceDN w:val="0"/>
        <w:adjustRightInd w:val="0"/>
        <w:rPr>
          <w:rFonts w:cs="Arial"/>
          <w:b/>
          <w:color w:val="000000"/>
          <w:szCs w:val="20"/>
        </w:rPr>
      </w:pPr>
    </w:p>
    <w:p w:rsidR="001B0993" w:rsidRPr="00161F1B" w:rsidRDefault="001B0993" w:rsidP="001B0993">
      <w:pPr>
        <w:tabs>
          <w:tab w:val="left" w:pos="1650"/>
        </w:tabs>
        <w:autoSpaceDE w:val="0"/>
        <w:autoSpaceDN w:val="0"/>
        <w:adjustRightInd w:val="0"/>
        <w:rPr>
          <w:rFonts w:cs="Arial"/>
          <w:color w:val="000000"/>
          <w:szCs w:val="22"/>
        </w:rPr>
      </w:pPr>
    </w:p>
    <w:p w:rsidR="001B0993" w:rsidRPr="00161F1B" w:rsidRDefault="00DC230C" w:rsidP="001B0993">
      <w:pPr>
        <w:tabs>
          <w:tab w:val="left" w:pos="1650"/>
        </w:tabs>
        <w:autoSpaceDE w:val="0"/>
        <w:autoSpaceDN w:val="0"/>
        <w:adjustRightInd w:val="0"/>
        <w:rPr>
          <w:rFonts w:cs="Arial"/>
          <w:color w:val="000000"/>
          <w:szCs w:val="22"/>
        </w:rPr>
      </w:pPr>
      <w:r>
        <w:rPr>
          <w:rFonts w:cs="Arial"/>
          <w:color w:val="000000"/>
          <w:szCs w:val="22"/>
        </w:rPr>
        <w:t xml:space="preserve">Datum:  </w:t>
      </w:r>
      <w:r w:rsidR="004A3489">
        <w:rPr>
          <w:rFonts w:cs="Arial"/>
          <w:color w:val="000000"/>
          <w:szCs w:val="22"/>
        </w:rPr>
        <w:t>6. 11. 2024</w:t>
      </w:r>
    </w:p>
    <w:p w:rsidR="001B0993" w:rsidRPr="00161F1B" w:rsidRDefault="001B0993" w:rsidP="001B0993">
      <w:pPr>
        <w:tabs>
          <w:tab w:val="left" w:pos="1650"/>
        </w:tabs>
        <w:autoSpaceDE w:val="0"/>
        <w:autoSpaceDN w:val="0"/>
        <w:adjustRightInd w:val="0"/>
        <w:rPr>
          <w:rFonts w:cs="Arial"/>
          <w:b/>
          <w:bCs/>
          <w:color w:val="000000"/>
          <w:szCs w:val="22"/>
        </w:rPr>
      </w:pPr>
    </w:p>
    <w:p w:rsidR="00694016" w:rsidRDefault="00694016" w:rsidP="001B0993">
      <w:pPr>
        <w:tabs>
          <w:tab w:val="left" w:pos="1650"/>
        </w:tabs>
        <w:autoSpaceDE w:val="0"/>
        <w:autoSpaceDN w:val="0"/>
        <w:adjustRightInd w:val="0"/>
        <w:ind w:left="-22"/>
        <w:rPr>
          <w:rFonts w:cs="Arial"/>
          <w:b/>
          <w:bCs/>
          <w:color w:val="000000"/>
          <w:szCs w:val="22"/>
        </w:rPr>
      </w:pPr>
    </w:p>
    <w:tbl>
      <w:tblPr>
        <w:tblStyle w:val="Tabelamrea"/>
        <w:tblW w:w="0" w:type="auto"/>
        <w:tblInd w:w="-2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2711"/>
        <w:gridCol w:w="6349"/>
      </w:tblGrid>
      <w:tr w:rsidR="007C32CF" w:rsidTr="00CF2A8A">
        <w:tc>
          <w:tcPr>
            <w:tcW w:w="2711" w:type="dxa"/>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ZADEVA:</w:t>
            </w:r>
          </w:p>
        </w:tc>
        <w:tc>
          <w:tcPr>
            <w:tcW w:w="6349" w:type="dxa"/>
          </w:tcPr>
          <w:p w:rsidR="007C32CF" w:rsidRDefault="004A3489" w:rsidP="00353276">
            <w:pPr>
              <w:tabs>
                <w:tab w:val="left" w:pos="1650"/>
              </w:tabs>
              <w:autoSpaceDE w:val="0"/>
              <w:autoSpaceDN w:val="0"/>
              <w:adjustRightInd w:val="0"/>
              <w:ind w:left="-22"/>
              <w:rPr>
                <w:rFonts w:cs="Arial"/>
                <w:b/>
                <w:bCs/>
                <w:color w:val="000000"/>
                <w:szCs w:val="22"/>
              </w:rPr>
            </w:pPr>
            <w:r>
              <w:rPr>
                <w:rFonts w:cs="Arial"/>
                <w:b/>
              </w:rPr>
              <w:t>STRATEŠKI NAČRT KNJIŽNICE RADLJE OB DRAVI 2025 – 2029 – podaja mnenja</w:t>
            </w:r>
          </w:p>
        </w:tc>
      </w:tr>
      <w:tr w:rsidR="007C32CF" w:rsidTr="00CF2A8A">
        <w:tc>
          <w:tcPr>
            <w:tcW w:w="2711" w:type="dxa"/>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PREDLAGATELJ:</w:t>
            </w:r>
          </w:p>
        </w:tc>
        <w:tc>
          <w:tcPr>
            <w:tcW w:w="6349" w:type="dxa"/>
          </w:tcPr>
          <w:p w:rsidR="007C32CF" w:rsidRDefault="007C32CF" w:rsidP="00CF2A8A">
            <w:pPr>
              <w:tabs>
                <w:tab w:val="left" w:pos="1650"/>
              </w:tabs>
              <w:autoSpaceDE w:val="0"/>
              <w:autoSpaceDN w:val="0"/>
              <w:adjustRightInd w:val="0"/>
              <w:rPr>
                <w:rFonts w:cs="Arial"/>
                <w:bCs/>
                <w:color w:val="000000"/>
                <w:szCs w:val="22"/>
              </w:rPr>
            </w:pPr>
            <w:r>
              <w:rPr>
                <w:rFonts w:cs="Arial"/>
                <w:bCs/>
                <w:color w:val="000000"/>
                <w:szCs w:val="22"/>
              </w:rPr>
              <w:t>Srečko GEČ, župan</w:t>
            </w:r>
          </w:p>
          <w:p w:rsidR="007C32CF" w:rsidRPr="0032651D" w:rsidRDefault="007C32CF" w:rsidP="00CF2A8A">
            <w:pPr>
              <w:tabs>
                <w:tab w:val="left" w:pos="1650"/>
              </w:tabs>
              <w:autoSpaceDE w:val="0"/>
              <w:autoSpaceDN w:val="0"/>
              <w:adjustRightInd w:val="0"/>
              <w:rPr>
                <w:rFonts w:cs="Arial"/>
                <w:bCs/>
                <w:color w:val="000000"/>
                <w:szCs w:val="22"/>
              </w:rPr>
            </w:pPr>
          </w:p>
        </w:tc>
      </w:tr>
      <w:tr w:rsidR="007C32CF" w:rsidTr="00CF2A8A">
        <w:tc>
          <w:tcPr>
            <w:tcW w:w="2711" w:type="dxa"/>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GRADIVO PRIPRAVIL:</w:t>
            </w:r>
          </w:p>
        </w:tc>
        <w:tc>
          <w:tcPr>
            <w:tcW w:w="6349" w:type="dxa"/>
          </w:tcPr>
          <w:p w:rsidR="007C32CF" w:rsidRPr="0032651D" w:rsidRDefault="007C32CF" w:rsidP="00CF2A8A">
            <w:pPr>
              <w:tabs>
                <w:tab w:val="left" w:pos="1650"/>
              </w:tabs>
              <w:autoSpaceDE w:val="0"/>
              <w:autoSpaceDN w:val="0"/>
              <w:adjustRightInd w:val="0"/>
              <w:rPr>
                <w:rFonts w:cs="Arial"/>
                <w:bCs/>
                <w:color w:val="000000"/>
                <w:szCs w:val="22"/>
              </w:rPr>
            </w:pPr>
            <w:r>
              <w:rPr>
                <w:rFonts w:cs="Arial"/>
                <w:bCs/>
                <w:color w:val="000000"/>
                <w:szCs w:val="22"/>
              </w:rPr>
              <w:t>Srečko GEČ, župan in uprava Občine Ribnica na Pohorju</w:t>
            </w:r>
          </w:p>
        </w:tc>
      </w:tr>
      <w:tr w:rsidR="007C32CF" w:rsidTr="00CF2A8A">
        <w:tc>
          <w:tcPr>
            <w:tcW w:w="2711" w:type="dxa"/>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POROČEVALEC:</w:t>
            </w:r>
          </w:p>
        </w:tc>
        <w:tc>
          <w:tcPr>
            <w:tcW w:w="6349" w:type="dxa"/>
          </w:tcPr>
          <w:p w:rsidR="007C32CF" w:rsidRPr="0032651D" w:rsidRDefault="004A3489" w:rsidP="004A3489">
            <w:pPr>
              <w:tabs>
                <w:tab w:val="left" w:pos="1650"/>
              </w:tabs>
              <w:autoSpaceDE w:val="0"/>
              <w:autoSpaceDN w:val="0"/>
              <w:adjustRightInd w:val="0"/>
              <w:rPr>
                <w:rFonts w:cs="Arial"/>
                <w:bCs/>
                <w:color w:val="000000"/>
                <w:szCs w:val="22"/>
              </w:rPr>
            </w:pPr>
            <w:r>
              <w:rPr>
                <w:rFonts w:cs="Arial"/>
                <w:bCs/>
                <w:color w:val="000000"/>
                <w:szCs w:val="22"/>
              </w:rPr>
              <w:t xml:space="preserve">Srečko GEČ, župan in </w:t>
            </w:r>
            <w:r w:rsidR="00DB0E40">
              <w:rPr>
                <w:rFonts w:cs="Arial"/>
                <w:bCs/>
                <w:color w:val="000000"/>
                <w:szCs w:val="22"/>
              </w:rPr>
              <w:t>Rafko C</w:t>
            </w:r>
            <w:r>
              <w:rPr>
                <w:rFonts w:cs="Arial"/>
                <w:bCs/>
                <w:color w:val="000000"/>
                <w:szCs w:val="22"/>
              </w:rPr>
              <w:t>VETKO</w:t>
            </w:r>
            <w:r w:rsidR="00DB0E40">
              <w:rPr>
                <w:rFonts w:cs="Arial"/>
                <w:bCs/>
                <w:color w:val="000000"/>
                <w:szCs w:val="22"/>
              </w:rPr>
              <w:t xml:space="preserve">, predsednik </w:t>
            </w:r>
            <w:r>
              <w:rPr>
                <w:rFonts w:cs="Arial"/>
                <w:bCs/>
                <w:color w:val="000000"/>
                <w:szCs w:val="22"/>
              </w:rPr>
              <w:t>ODDLSSO</w:t>
            </w:r>
          </w:p>
        </w:tc>
      </w:tr>
      <w:tr w:rsidR="007C32CF" w:rsidTr="00CF2A8A">
        <w:tc>
          <w:tcPr>
            <w:tcW w:w="2711" w:type="dxa"/>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GRADIVO OBRAVNAVAL:</w:t>
            </w:r>
          </w:p>
        </w:tc>
        <w:tc>
          <w:tcPr>
            <w:tcW w:w="6349" w:type="dxa"/>
          </w:tcPr>
          <w:p w:rsidR="007C32CF" w:rsidRPr="0032651D" w:rsidRDefault="007C32CF" w:rsidP="00CF2A8A">
            <w:pPr>
              <w:tabs>
                <w:tab w:val="left" w:pos="1650"/>
              </w:tabs>
              <w:autoSpaceDE w:val="0"/>
              <w:autoSpaceDN w:val="0"/>
              <w:adjustRightInd w:val="0"/>
              <w:jc w:val="both"/>
              <w:rPr>
                <w:rFonts w:cs="Arial"/>
                <w:bCs/>
                <w:color w:val="000000"/>
                <w:szCs w:val="22"/>
              </w:rPr>
            </w:pPr>
            <w:r>
              <w:rPr>
                <w:rFonts w:cs="Arial"/>
                <w:bCs/>
                <w:color w:val="000000"/>
                <w:szCs w:val="22"/>
              </w:rPr>
              <w:t>/</w:t>
            </w:r>
          </w:p>
        </w:tc>
      </w:tr>
      <w:tr w:rsidR="007C32CF" w:rsidTr="00CF2A8A">
        <w:tc>
          <w:tcPr>
            <w:tcW w:w="2711" w:type="dxa"/>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PREDLOG SKLEPA:</w:t>
            </w:r>
          </w:p>
        </w:tc>
        <w:tc>
          <w:tcPr>
            <w:tcW w:w="6349" w:type="dxa"/>
          </w:tcPr>
          <w:p w:rsidR="007C32CF" w:rsidRDefault="004A3489" w:rsidP="004A3489">
            <w:pPr>
              <w:tabs>
                <w:tab w:val="left" w:pos="1650"/>
              </w:tabs>
              <w:autoSpaceDE w:val="0"/>
              <w:autoSpaceDN w:val="0"/>
              <w:adjustRightInd w:val="0"/>
              <w:jc w:val="both"/>
              <w:rPr>
                <w:rFonts w:cs="Arial"/>
                <w:b/>
                <w:bCs/>
                <w:color w:val="000000"/>
                <w:szCs w:val="22"/>
              </w:rPr>
            </w:pPr>
            <w:r>
              <w:rPr>
                <w:rFonts w:cs="Arial"/>
                <w:b/>
                <w:bCs/>
                <w:color w:val="000000"/>
                <w:szCs w:val="22"/>
              </w:rPr>
              <w:t>Občinski svet Občine Ribnica na Pohorju daje</w:t>
            </w:r>
            <w:bookmarkStart w:id="0" w:name="_GoBack"/>
            <w:bookmarkEnd w:id="0"/>
            <w:r>
              <w:rPr>
                <w:rFonts w:cs="Arial"/>
                <w:b/>
                <w:bCs/>
                <w:color w:val="000000"/>
                <w:szCs w:val="22"/>
              </w:rPr>
              <w:t xml:space="preserve"> pozitivno mnenje k Strateškemu načrtu Knjižnice Radlje ob Dravi 2025 – 2029, oktober 2024.</w:t>
            </w:r>
          </w:p>
        </w:tc>
      </w:tr>
      <w:tr w:rsidR="007C32CF" w:rsidTr="00CF2A8A">
        <w:tc>
          <w:tcPr>
            <w:tcW w:w="2711" w:type="dxa"/>
            <w:tcBorders>
              <w:bottom w:val="nil"/>
            </w:tcBorders>
          </w:tcPr>
          <w:p w:rsidR="007C32CF" w:rsidRDefault="007C32CF" w:rsidP="00CF2A8A">
            <w:pPr>
              <w:tabs>
                <w:tab w:val="left" w:pos="1650"/>
              </w:tabs>
              <w:autoSpaceDE w:val="0"/>
              <w:autoSpaceDN w:val="0"/>
              <w:adjustRightInd w:val="0"/>
              <w:rPr>
                <w:rFonts w:cs="Arial"/>
                <w:b/>
                <w:bCs/>
                <w:color w:val="000000"/>
                <w:szCs w:val="22"/>
              </w:rPr>
            </w:pPr>
            <w:r>
              <w:rPr>
                <w:rFonts w:cs="Arial"/>
                <w:b/>
                <w:bCs/>
                <w:color w:val="000000"/>
                <w:szCs w:val="22"/>
              </w:rPr>
              <w:t>PRAVNA PODLAGA:</w:t>
            </w:r>
          </w:p>
        </w:tc>
        <w:tc>
          <w:tcPr>
            <w:tcW w:w="6349" w:type="dxa"/>
            <w:tcBorders>
              <w:bottom w:val="nil"/>
            </w:tcBorders>
          </w:tcPr>
          <w:p w:rsidR="007C32CF" w:rsidRPr="0032651D" w:rsidRDefault="00AA310C" w:rsidP="00CF2A8A">
            <w:pPr>
              <w:tabs>
                <w:tab w:val="left" w:pos="1650"/>
              </w:tabs>
              <w:autoSpaceDE w:val="0"/>
              <w:autoSpaceDN w:val="0"/>
              <w:adjustRightInd w:val="0"/>
              <w:jc w:val="both"/>
              <w:rPr>
                <w:rFonts w:cs="Arial"/>
                <w:bCs/>
                <w:color w:val="000000"/>
                <w:szCs w:val="22"/>
              </w:rPr>
            </w:pPr>
            <w:r w:rsidRPr="004A3489">
              <w:rPr>
                <w:rFonts w:cs="Arial"/>
                <w:b/>
                <w:bCs/>
                <w:color w:val="000000"/>
                <w:szCs w:val="22"/>
              </w:rPr>
              <w:t>Zakon o uresničevanju javnega interesa za kulturo</w:t>
            </w:r>
            <w:r>
              <w:rPr>
                <w:rFonts w:cs="Arial"/>
                <w:bCs/>
                <w:color w:val="000000"/>
                <w:szCs w:val="22"/>
              </w:rPr>
              <w:t xml:space="preserve"> (</w:t>
            </w:r>
            <w:r w:rsidRPr="00462619">
              <w:rPr>
                <w:rFonts w:cs="Arial"/>
                <w:b/>
                <w:bCs/>
                <w:color w:val="000000"/>
                <w:szCs w:val="22"/>
              </w:rPr>
              <w:t>ZUJIK</w:t>
            </w:r>
            <w:r>
              <w:rPr>
                <w:rFonts w:cs="Arial"/>
                <w:bCs/>
                <w:color w:val="000000"/>
                <w:szCs w:val="22"/>
              </w:rPr>
              <w:t xml:space="preserve">, Uradni list RS, št. 96/02, 123/06 – ZFO-1, 7/07 – </w:t>
            </w:r>
            <w:proofErr w:type="spellStart"/>
            <w:r>
              <w:rPr>
                <w:rFonts w:cs="Arial"/>
                <w:bCs/>
                <w:color w:val="000000"/>
                <w:szCs w:val="22"/>
              </w:rPr>
              <w:t>odl</w:t>
            </w:r>
            <w:proofErr w:type="spellEnd"/>
            <w:r>
              <w:rPr>
                <w:rFonts w:cs="Arial"/>
                <w:bCs/>
                <w:color w:val="000000"/>
                <w:szCs w:val="22"/>
              </w:rPr>
              <w:t xml:space="preserve">. US, 53/07, 65/07 – </w:t>
            </w:r>
            <w:proofErr w:type="spellStart"/>
            <w:r>
              <w:rPr>
                <w:rFonts w:cs="Arial"/>
                <w:bCs/>
                <w:color w:val="000000"/>
                <w:szCs w:val="22"/>
              </w:rPr>
              <w:t>odl</w:t>
            </w:r>
            <w:proofErr w:type="spellEnd"/>
            <w:r>
              <w:rPr>
                <w:rFonts w:cs="Arial"/>
                <w:bCs/>
                <w:color w:val="000000"/>
                <w:szCs w:val="22"/>
              </w:rPr>
              <w:t xml:space="preserve">. US, 56/08, 4/10, 20/11, 100/11 – </w:t>
            </w:r>
            <w:proofErr w:type="spellStart"/>
            <w:r>
              <w:rPr>
                <w:rFonts w:cs="Arial"/>
                <w:bCs/>
                <w:color w:val="000000"/>
                <w:szCs w:val="22"/>
              </w:rPr>
              <w:t>odl</w:t>
            </w:r>
            <w:proofErr w:type="spellEnd"/>
            <w:r>
              <w:rPr>
                <w:rFonts w:cs="Arial"/>
                <w:bCs/>
                <w:color w:val="000000"/>
                <w:szCs w:val="22"/>
              </w:rPr>
              <w:t xml:space="preserve">. US, 111/13, 68/16, 61/17, 21/18 – </w:t>
            </w:r>
            <w:proofErr w:type="spellStart"/>
            <w:r>
              <w:rPr>
                <w:rFonts w:cs="Arial"/>
                <w:bCs/>
                <w:color w:val="000000"/>
                <w:szCs w:val="22"/>
              </w:rPr>
              <w:t>ZNOrg</w:t>
            </w:r>
            <w:proofErr w:type="spellEnd"/>
            <w:r>
              <w:rPr>
                <w:rFonts w:cs="Arial"/>
                <w:bCs/>
                <w:color w:val="000000"/>
                <w:szCs w:val="22"/>
              </w:rPr>
              <w:t>,</w:t>
            </w:r>
            <w:r w:rsidR="002E1DCF">
              <w:rPr>
                <w:rFonts w:cs="Arial"/>
                <w:bCs/>
                <w:color w:val="000000"/>
                <w:szCs w:val="22"/>
              </w:rPr>
              <w:t xml:space="preserve">  3/22 – </w:t>
            </w:r>
            <w:proofErr w:type="spellStart"/>
            <w:r w:rsidR="002E1DCF">
              <w:rPr>
                <w:rFonts w:cs="Arial"/>
                <w:bCs/>
                <w:color w:val="000000"/>
                <w:szCs w:val="22"/>
              </w:rPr>
              <w:t>ZDeb</w:t>
            </w:r>
            <w:proofErr w:type="spellEnd"/>
            <w:r w:rsidR="002E1DCF">
              <w:rPr>
                <w:rFonts w:cs="Arial"/>
                <w:bCs/>
                <w:color w:val="000000"/>
                <w:szCs w:val="22"/>
              </w:rPr>
              <w:t>, 105/22 – ZZNŠPP)</w:t>
            </w:r>
          </w:p>
        </w:tc>
      </w:tr>
    </w:tbl>
    <w:p w:rsidR="00317A29" w:rsidRPr="00C12400" w:rsidRDefault="00317A29" w:rsidP="00C12400">
      <w:pPr>
        <w:pStyle w:val="Brezrazmikov"/>
        <w:rPr>
          <w:sz w:val="10"/>
        </w:rPr>
      </w:pPr>
    </w:p>
    <w:p w:rsidR="00462619" w:rsidRDefault="00317A29" w:rsidP="00CF0569">
      <w:pPr>
        <w:autoSpaceDE w:val="0"/>
        <w:autoSpaceDN w:val="0"/>
        <w:adjustRightInd w:val="0"/>
        <w:ind w:left="-22"/>
        <w:jc w:val="both"/>
        <w:rPr>
          <w:rFonts w:cs="Arial"/>
          <w:bCs/>
          <w:color w:val="000000"/>
          <w:szCs w:val="22"/>
        </w:rPr>
      </w:pPr>
      <w:r w:rsidRPr="00317A29">
        <w:rPr>
          <w:rFonts w:cs="Arial"/>
          <w:b/>
          <w:bCs/>
          <w:color w:val="000000"/>
          <w:szCs w:val="22"/>
        </w:rPr>
        <w:t>OBRAZLOŽITEV:</w:t>
      </w:r>
      <w:r>
        <w:rPr>
          <w:rFonts w:cs="Arial"/>
          <w:bCs/>
          <w:color w:val="000000"/>
          <w:szCs w:val="22"/>
        </w:rPr>
        <w:t xml:space="preserve">  </w:t>
      </w:r>
    </w:p>
    <w:p w:rsidR="00462619" w:rsidRDefault="00462619" w:rsidP="00CF0569">
      <w:pPr>
        <w:autoSpaceDE w:val="0"/>
        <w:autoSpaceDN w:val="0"/>
        <w:adjustRightInd w:val="0"/>
        <w:ind w:left="-22"/>
        <w:jc w:val="both"/>
        <w:rPr>
          <w:rFonts w:cs="Arial"/>
          <w:bCs/>
          <w:color w:val="000000"/>
          <w:szCs w:val="22"/>
        </w:rPr>
      </w:pPr>
      <w:r>
        <w:rPr>
          <w:rFonts w:cs="Arial"/>
          <w:bCs/>
          <w:color w:val="000000"/>
          <w:szCs w:val="22"/>
        </w:rPr>
        <w:t>Knjižnica Radlje ob Dravi je 23. 10. 2024 na upravo občine posredovala predlog Strateškega načrta Knjižnice Radlje ob Dravi 2025 – 2029 in predlog Programa dejavnosti Knjižnice Radlje ob Dravi  v letu  2025.</w:t>
      </w:r>
    </w:p>
    <w:p w:rsidR="00CB4AAC" w:rsidRDefault="00CB4AAC" w:rsidP="00CF0569">
      <w:pPr>
        <w:autoSpaceDE w:val="0"/>
        <w:autoSpaceDN w:val="0"/>
        <w:adjustRightInd w:val="0"/>
        <w:ind w:left="-22"/>
        <w:jc w:val="both"/>
        <w:rPr>
          <w:rFonts w:cs="Arial"/>
          <w:bCs/>
          <w:color w:val="000000"/>
          <w:szCs w:val="22"/>
        </w:rPr>
      </w:pPr>
    </w:p>
    <w:p w:rsidR="00462619" w:rsidRDefault="00462619" w:rsidP="00CF0569">
      <w:pPr>
        <w:autoSpaceDE w:val="0"/>
        <w:autoSpaceDN w:val="0"/>
        <w:adjustRightInd w:val="0"/>
        <w:ind w:left="-22"/>
        <w:jc w:val="both"/>
        <w:rPr>
          <w:rFonts w:cs="Arial"/>
          <w:bCs/>
          <w:color w:val="000000"/>
          <w:szCs w:val="22"/>
        </w:rPr>
      </w:pPr>
      <w:r>
        <w:rPr>
          <w:rFonts w:cs="Arial"/>
          <w:bCs/>
          <w:color w:val="000000"/>
          <w:szCs w:val="22"/>
        </w:rPr>
        <w:t xml:space="preserve">35. člen ZUJIK določa, da je strateški načrt dokument srednjeročnega razvojnega načrtovanja, ki upošteva  cilje in prioritete nacionalnega oziroma lokalnega programa za kulturo, program dela pa je njegov letni izvedbeni načrt, katerega sestavni del je finančni načrt. </w:t>
      </w:r>
    </w:p>
    <w:p w:rsidR="007C32CF" w:rsidRDefault="007C32CF" w:rsidP="00CF0569">
      <w:pPr>
        <w:autoSpaceDE w:val="0"/>
        <w:autoSpaceDN w:val="0"/>
        <w:adjustRightInd w:val="0"/>
        <w:ind w:left="-22"/>
        <w:jc w:val="both"/>
        <w:rPr>
          <w:rFonts w:cs="Arial"/>
          <w:bCs/>
          <w:color w:val="000000"/>
          <w:szCs w:val="22"/>
        </w:rPr>
      </w:pPr>
    </w:p>
    <w:p w:rsidR="00CB4AAC" w:rsidRDefault="00CB4AAC" w:rsidP="00CF0569">
      <w:pPr>
        <w:autoSpaceDE w:val="0"/>
        <w:autoSpaceDN w:val="0"/>
        <w:adjustRightInd w:val="0"/>
        <w:ind w:left="-22"/>
        <w:jc w:val="both"/>
        <w:rPr>
          <w:rFonts w:cs="Arial"/>
          <w:bCs/>
          <w:color w:val="000000"/>
          <w:szCs w:val="22"/>
        </w:rPr>
      </w:pPr>
      <w:r>
        <w:rPr>
          <w:rFonts w:cs="Arial"/>
          <w:bCs/>
          <w:color w:val="000000"/>
          <w:szCs w:val="22"/>
        </w:rPr>
        <w:t xml:space="preserve">K strateškemu načrtu podajo ustanovitelji in večinski financer javnega zavoda predhodno mnenje. Če ti predhodnega mnenja ne podajo v 45 dneh od njegovega prejema se šteje, da je mnenje pozitivno. </w:t>
      </w:r>
    </w:p>
    <w:p w:rsidR="00CB4AAC" w:rsidRDefault="00CB4AAC" w:rsidP="00CF0569">
      <w:pPr>
        <w:autoSpaceDE w:val="0"/>
        <w:autoSpaceDN w:val="0"/>
        <w:adjustRightInd w:val="0"/>
        <w:ind w:left="-22"/>
        <w:jc w:val="both"/>
        <w:rPr>
          <w:rFonts w:cs="Arial"/>
          <w:bCs/>
          <w:color w:val="000000"/>
          <w:szCs w:val="22"/>
        </w:rPr>
      </w:pPr>
    </w:p>
    <w:p w:rsidR="00CB4AAC" w:rsidRPr="00426623" w:rsidRDefault="00CB4AAC" w:rsidP="00CF0569">
      <w:pPr>
        <w:autoSpaceDE w:val="0"/>
        <w:autoSpaceDN w:val="0"/>
        <w:adjustRightInd w:val="0"/>
        <w:ind w:left="-22"/>
        <w:jc w:val="both"/>
        <w:rPr>
          <w:rFonts w:cs="Arial"/>
          <w:bCs/>
          <w:color w:val="000000"/>
          <w:szCs w:val="22"/>
        </w:rPr>
      </w:pPr>
      <w:r>
        <w:rPr>
          <w:rFonts w:cs="Arial"/>
          <w:bCs/>
          <w:color w:val="000000"/>
          <w:szCs w:val="22"/>
        </w:rPr>
        <w:t xml:space="preserve">Strateški načrt se sprejme za obdobje 5 let. </w:t>
      </w:r>
    </w:p>
    <w:p w:rsidR="001B0993"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t>Srečko GEČ</w:t>
      </w:r>
    </w:p>
    <w:p w:rsidR="00317A29" w:rsidRPr="00161F1B" w:rsidRDefault="00317A29" w:rsidP="001B0993">
      <w:pPr>
        <w:tabs>
          <w:tab w:val="left" w:pos="3410"/>
        </w:tabs>
        <w:autoSpaceDE w:val="0"/>
        <w:autoSpaceDN w:val="0"/>
        <w:adjustRightInd w:val="0"/>
        <w:rPr>
          <w:rFonts w:cs="Arial"/>
          <w:color w:val="000000"/>
          <w:szCs w:val="22"/>
        </w:rPr>
      </w:pP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r>
      <w:r>
        <w:rPr>
          <w:rFonts w:cs="Arial"/>
          <w:color w:val="000000"/>
          <w:szCs w:val="22"/>
        </w:rPr>
        <w:tab/>
        <w:t xml:space="preserve">   ŽUPAN </w:t>
      </w:r>
    </w:p>
    <w:p w:rsidR="001B0993" w:rsidRPr="00161F1B" w:rsidRDefault="001B0993" w:rsidP="001B0993">
      <w:pPr>
        <w:tabs>
          <w:tab w:val="left" w:pos="3410"/>
        </w:tabs>
        <w:autoSpaceDE w:val="0"/>
        <w:autoSpaceDN w:val="0"/>
        <w:adjustRightInd w:val="0"/>
        <w:rPr>
          <w:rFonts w:cs="Arial"/>
          <w:color w:val="000000"/>
          <w:szCs w:val="22"/>
        </w:rPr>
      </w:pPr>
      <w:r w:rsidRPr="00161F1B">
        <w:rPr>
          <w:rFonts w:cs="Arial"/>
          <w:color w:val="000000"/>
          <w:szCs w:val="22"/>
        </w:rPr>
        <w:tab/>
      </w:r>
      <w:r w:rsidRPr="00161F1B">
        <w:rPr>
          <w:rFonts w:cs="Arial"/>
          <w:color w:val="000000"/>
          <w:szCs w:val="22"/>
        </w:rPr>
        <w:tab/>
      </w:r>
      <w:r w:rsidRPr="00161F1B">
        <w:rPr>
          <w:rFonts w:cs="Arial"/>
          <w:color w:val="000000"/>
          <w:szCs w:val="22"/>
        </w:rPr>
        <w:tab/>
      </w:r>
      <w:r w:rsidRPr="00161F1B">
        <w:rPr>
          <w:rFonts w:cs="Arial"/>
          <w:color w:val="000000"/>
          <w:szCs w:val="22"/>
        </w:rPr>
        <w:tab/>
      </w:r>
      <w:r w:rsidR="00317A29">
        <w:rPr>
          <w:rFonts w:cs="Arial"/>
          <w:color w:val="000000"/>
          <w:szCs w:val="22"/>
        </w:rPr>
        <w:tab/>
      </w:r>
      <w:r w:rsidR="00317A29">
        <w:rPr>
          <w:rFonts w:cs="Arial"/>
          <w:color w:val="000000"/>
          <w:szCs w:val="22"/>
        </w:rPr>
        <w:tab/>
      </w:r>
    </w:p>
    <w:p w:rsidR="00C12400" w:rsidRDefault="00C12400" w:rsidP="00397ACA">
      <w:pPr>
        <w:autoSpaceDE w:val="0"/>
        <w:autoSpaceDN w:val="0"/>
        <w:adjustRightInd w:val="0"/>
        <w:ind w:left="-23"/>
        <w:rPr>
          <w:rFonts w:cs="Arial"/>
          <w:bCs/>
          <w:color w:val="000000"/>
          <w:szCs w:val="22"/>
        </w:rPr>
      </w:pPr>
    </w:p>
    <w:sectPr w:rsidR="00C12400" w:rsidSect="00E411B6">
      <w:pgSz w:w="11906" w:h="16838"/>
      <w:pgMar w:top="1021"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1"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33B31"/>
    <w:rsid w:val="00051048"/>
    <w:rsid w:val="00065B5A"/>
    <w:rsid w:val="000B28F6"/>
    <w:rsid w:val="001350F9"/>
    <w:rsid w:val="00140F67"/>
    <w:rsid w:val="00161F1B"/>
    <w:rsid w:val="001A12FA"/>
    <w:rsid w:val="001A717E"/>
    <w:rsid w:val="001B0993"/>
    <w:rsid w:val="002005F7"/>
    <w:rsid w:val="00255313"/>
    <w:rsid w:val="00283A7B"/>
    <w:rsid w:val="002D1467"/>
    <w:rsid w:val="002E1DCF"/>
    <w:rsid w:val="00315F0E"/>
    <w:rsid w:val="00317A29"/>
    <w:rsid w:val="00353276"/>
    <w:rsid w:val="00397ACA"/>
    <w:rsid w:val="003D4472"/>
    <w:rsid w:val="00401512"/>
    <w:rsid w:val="00426623"/>
    <w:rsid w:val="00462619"/>
    <w:rsid w:val="004A3489"/>
    <w:rsid w:val="0051375E"/>
    <w:rsid w:val="0061251A"/>
    <w:rsid w:val="00650B7E"/>
    <w:rsid w:val="00694016"/>
    <w:rsid w:val="006E242B"/>
    <w:rsid w:val="007C32CF"/>
    <w:rsid w:val="0086302E"/>
    <w:rsid w:val="008A2CA6"/>
    <w:rsid w:val="00924130"/>
    <w:rsid w:val="00937A74"/>
    <w:rsid w:val="00944F6B"/>
    <w:rsid w:val="00A764AD"/>
    <w:rsid w:val="00AA310C"/>
    <w:rsid w:val="00B27BD1"/>
    <w:rsid w:val="00B84760"/>
    <w:rsid w:val="00BB4680"/>
    <w:rsid w:val="00C12400"/>
    <w:rsid w:val="00C22FCF"/>
    <w:rsid w:val="00C406D8"/>
    <w:rsid w:val="00C57973"/>
    <w:rsid w:val="00CB4AAC"/>
    <w:rsid w:val="00CF0569"/>
    <w:rsid w:val="00D11A01"/>
    <w:rsid w:val="00DB0E40"/>
    <w:rsid w:val="00DB4404"/>
    <w:rsid w:val="00DC230C"/>
    <w:rsid w:val="00E35F77"/>
    <w:rsid w:val="00E37853"/>
    <w:rsid w:val="00E411B6"/>
    <w:rsid w:val="00EB007F"/>
    <w:rsid w:val="00ED7503"/>
    <w:rsid w:val="00EF5BB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D1B3EF-BEC2-4591-8295-61436E5E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B0993"/>
    <w:pPr>
      <w:spacing w:after="0" w:line="260" w:lineRule="atLeast"/>
    </w:pPr>
    <w:rPr>
      <w:rFonts w:ascii="Arial" w:eastAsia="Times New Roman" w:hAnsi="Arial" w:cs="Times New Roman"/>
      <w:sz w:val="2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pPr>
      <w:spacing w:after="0" w:line="240" w:lineRule="auto"/>
    </w:pPr>
    <w:rPr>
      <w:rFonts w:ascii="Arial" w:eastAsia="Times New Roman" w:hAnsi="Arial" w:cs="Times New Roman"/>
      <w:sz w:val="20"/>
      <w:szCs w:val="24"/>
    </w:rPr>
  </w:style>
  <w:style w:type="character" w:styleId="Hiperpovezava">
    <w:name w:val="Hyperlink"/>
    <w:basedOn w:val="Privzetapisavaodstavka"/>
    <w:uiPriority w:val="99"/>
    <w:unhideWhenUsed/>
    <w:rsid w:val="00D11A01"/>
    <w:rPr>
      <w:color w:val="0563C1" w:themeColor="hyperlink"/>
      <w:u w:val="single"/>
    </w:rPr>
  </w:style>
  <w:style w:type="paragraph" w:styleId="Besedilooblaka">
    <w:name w:val="Balloon Text"/>
    <w:basedOn w:val="Navaden"/>
    <w:link w:val="BesedilooblakaZnak"/>
    <w:uiPriority w:val="99"/>
    <w:semiHidden/>
    <w:unhideWhenUsed/>
    <w:rsid w:val="001350F9"/>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350F9"/>
    <w:rPr>
      <w:rFonts w:ascii="Segoe UI" w:eastAsia="Times New Roman" w:hAnsi="Segoe UI" w:cs="Segoe UI"/>
      <w:sz w:val="18"/>
      <w:szCs w:val="18"/>
    </w:rPr>
  </w:style>
  <w:style w:type="paragraph" w:styleId="Telobesedila">
    <w:name w:val="Body Text"/>
    <w:basedOn w:val="Navaden"/>
    <w:link w:val="TelobesedilaZnak"/>
    <w:semiHidden/>
    <w:unhideWhenUsed/>
    <w:rsid w:val="00650B7E"/>
    <w:pPr>
      <w:tabs>
        <w:tab w:val="left" w:pos="-1440"/>
      </w:tabs>
      <w:spacing w:line="240" w:lineRule="auto"/>
      <w:jc w:val="both"/>
    </w:pPr>
    <w:rPr>
      <w:rFonts w:ascii="Times New Roman" w:hAnsi="Times New Roman"/>
      <w:sz w:val="24"/>
      <w:szCs w:val="20"/>
    </w:rPr>
  </w:style>
  <w:style w:type="character" w:customStyle="1" w:styleId="TelobesedilaZnak">
    <w:name w:val="Telo besedila Znak"/>
    <w:basedOn w:val="Privzetapisavaodstavka"/>
    <w:link w:val="Telobesedila"/>
    <w:semiHidden/>
    <w:rsid w:val="00650B7E"/>
    <w:rPr>
      <w:rFonts w:ascii="Times New Roman" w:eastAsia="Times New Roman" w:hAnsi="Times New Roman" w:cs="Times New Roman"/>
      <w:sz w:val="24"/>
      <w:szCs w:val="20"/>
    </w:rPr>
  </w:style>
  <w:style w:type="paragraph" w:customStyle="1" w:styleId="Default">
    <w:name w:val="Default"/>
    <w:rsid w:val="00650B7E"/>
    <w:pPr>
      <w:autoSpaceDE w:val="0"/>
      <w:autoSpaceDN w:val="0"/>
      <w:adjustRightInd w:val="0"/>
      <w:spacing w:after="0" w:line="240" w:lineRule="auto"/>
    </w:pPr>
    <w:rPr>
      <w:rFonts w:ascii="Cambria" w:hAnsi="Cambria" w:cs="Cambria"/>
      <w:color w:val="000000"/>
      <w:sz w:val="24"/>
      <w:szCs w:val="24"/>
    </w:rPr>
  </w:style>
  <w:style w:type="table" w:styleId="Tabelamrea">
    <w:name w:val="Table Grid"/>
    <w:basedOn w:val="Navadnatabela"/>
    <w:uiPriority w:val="39"/>
    <w:rsid w:val="007C32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80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238</Words>
  <Characters>1358</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dc:description/>
  <cp:lastModifiedBy>Občina Ribnica</cp:lastModifiedBy>
  <cp:revision>10</cp:revision>
  <cp:lastPrinted>2022-12-15T13:54:00Z</cp:lastPrinted>
  <dcterms:created xsi:type="dcterms:W3CDTF">2024-10-24T11:25:00Z</dcterms:created>
  <dcterms:modified xsi:type="dcterms:W3CDTF">2024-11-07T11:15:00Z</dcterms:modified>
</cp:coreProperties>
</file>