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93" w:rsidRPr="00E411B6" w:rsidRDefault="00E411B6" w:rsidP="00E411B6">
      <w:pPr>
        <w:rPr>
          <w:rFonts w:cs="Arial"/>
          <w:b/>
          <w:caps/>
          <w:szCs w:val="20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993" w:rsidRPr="00E411B6">
        <w:rPr>
          <w:rFonts w:cs="Arial"/>
          <w:b/>
          <w:caps/>
          <w:szCs w:val="20"/>
        </w:rPr>
        <w:t>Občina Ribnica na Pohorju</w:t>
      </w:r>
    </w:p>
    <w:p w:rsidR="001B0993" w:rsidRDefault="00051048" w:rsidP="0096360C">
      <w:pPr>
        <w:rPr>
          <w:rFonts w:cs="Arial"/>
          <w:caps/>
          <w:szCs w:val="20"/>
        </w:rPr>
      </w:pPr>
      <w:r w:rsidRPr="00051048">
        <w:rPr>
          <w:rFonts w:cs="Arial"/>
          <w:sz w:val="16"/>
          <w:szCs w:val="20"/>
        </w:rPr>
        <w:t>Ribnica</w:t>
      </w:r>
      <w:r>
        <w:rPr>
          <w:rFonts w:cs="Arial"/>
          <w:sz w:val="16"/>
          <w:szCs w:val="20"/>
        </w:rPr>
        <w:t xml:space="preserve"> </w:t>
      </w:r>
      <w:r w:rsidRPr="00051048">
        <w:rPr>
          <w:rFonts w:cs="Arial"/>
          <w:sz w:val="16"/>
          <w:szCs w:val="20"/>
        </w:rPr>
        <w:t>na Pohorju 1</w:t>
      </w:r>
      <w:r>
        <w:rPr>
          <w:rFonts w:cs="Arial"/>
          <w:sz w:val="16"/>
          <w:szCs w:val="20"/>
        </w:rPr>
        <w:t>, 23</w:t>
      </w:r>
      <w:r w:rsidRPr="00051048">
        <w:rPr>
          <w:rFonts w:cs="Arial"/>
          <w:caps/>
          <w:sz w:val="16"/>
          <w:szCs w:val="20"/>
        </w:rPr>
        <w:t>64 R</w:t>
      </w:r>
      <w:r w:rsidRPr="00051048">
        <w:rPr>
          <w:rFonts w:cs="Arial"/>
          <w:sz w:val="16"/>
          <w:szCs w:val="20"/>
        </w:rPr>
        <w:t>ibnica na Pohorju</w:t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</w:p>
    <w:p w:rsidR="0096360C" w:rsidRPr="00051048" w:rsidRDefault="0096360C" w:rsidP="0096360C">
      <w:pPr>
        <w:rPr>
          <w:rFonts w:cs="Arial"/>
          <w:bCs/>
          <w:color w:val="000000"/>
          <w:sz w:val="16"/>
          <w:szCs w:val="20"/>
        </w:rPr>
      </w:pPr>
    </w:p>
    <w:p w:rsidR="001B0993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OBČINSKI SVET </w:t>
      </w:r>
    </w:p>
    <w:p w:rsidR="001B0993" w:rsidRPr="00E411B6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  <w:r>
        <w:rPr>
          <w:rFonts w:cs="Arial"/>
          <w:b/>
        </w:rPr>
        <w:t>OBČINE RIBNICA NA POHORJU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1B0993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083F7B" w:rsidRPr="00E411B6" w:rsidRDefault="00083F7B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1B0993" w:rsidRPr="00161F1B" w:rsidRDefault="0032651D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Datum:</w:t>
      </w:r>
      <w:r w:rsidR="00E13A62">
        <w:rPr>
          <w:rFonts w:cs="Arial"/>
          <w:color w:val="000000"/>
          <w:szCs w:val="22"/>
        </w:rPr>
        <w:t xml:space="preserve"> </w:t>
      </w:r>
      <w:r w:rsidR="00333C11">
        <w:rPr>
          <w:rFonts w:cs="Arial"/>
          <w:color w:val="000000"/>
          <w:szCs w:val="22"/>
        </w:rPr>
        <w:t>9. 12. 2024</w:t>
      </w: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tbl>
      <w:tblPr>
        <w:tblStyle w:val="Tabelamrea"/>
        <w:tblW w:w="0" w:type="auto"/>
        <w:tblInd w:w="-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11"/>
        <w:gridCol w:w="6349"/>
      </w:tblGrid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ZADEVA:</w:t>
            </w:r>
          </w:p>
        </w:tc>
        <w:tc>
          <w:tcPr>
            <w:tcW w:w="6349" w:type="dxa"/>
          </w:tcPr>
          <w:p w:rsidR="00216A16" w:rsidRPr="00C406D8" w:rsidRDefault="00E13A62" w:rsidP="00216A16">
            <w:pPr>
              <w:tabs>
                <w:tab w:val="left" w:pos="1650"/>
              </w:tabs>
              <w:autoSpaceDE w:val="0"/>
              <w:autoSpaceDN w:val="0"/>
              <w:adjustRightInd w:val="0"/>
              <w:ind w:left="-22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</w:rPr>
              <w:t>PREDLOG ODLOKA O REBALANSU</w:t>
            </w:r>
            <w:r w:rsidR="00216A16" w:rsidRPr="00E13A62">
              <w:rPr>
                <w:rFonts w:cs="Arial"/>
                <w:b/>
              </w:rPr>
              <w:t xml:space="preserve"> PRORAČUNA OBČIN</w:t>
            </w:r>
            <w:r w:rsidR="00721942" w:rsidRPr="00E13A62">
              <w:rPr>
                <w:rFonts w:cs="Arial"/>
                <w:b/>
              </w:rPr>
              <w:t xml:space="preserve">E RIBNICA NA POHORJU ZA LETO </w:t>
            </w:r>
            <w:r w:rsidR="0096360C">
              <w:rPr>
                <w:rFonts w:cs="Arial"/>
                <w:b/>
              </w:rPr>
              <w:t>2024 (</w:t>
            </w:r>
            <w:r w:rsidR="00333C11">
              <w:rPr>
                <w:rFonts w:cs="Arial"/>
                <w:b/>
              </w:rPr>
              <w:t>3</w:t>
            </w:r>
            <w:r w:rsidR="0096360C">
              <w:rPr>
                <w:rFonts w:cs="Arial"/>
                <w:b/>
              </w:rPr>
              <w:t>)</w:t>
            </w:r>
            <w:r w:rsidR="00216A16" w:rsidRPr="00E13A62">
              <w:rPr>
                <w:rFonts w:cs="Arial"/>
                <w:b/>
              </w:rPr>
              <w:t xml:space="preserve"> </w:t>
            </w:r>
            <w:r w:rsidR="00333C11">
              <w:rPr>
                <w:rFonts w:cs="Arial"/>
                <w:b/>
              </w:rPr>
              <w:t>– skrajšani postopek</w:t>
            </w:r>
            <w:bookmarkStart w:id="0" w:name="_GoBack"/>
            <w:bookmarkEnd w:id="0"/>
          </w:p>
          <w:p w:rsidR="0032651D" w:rsidRDefault="0032651D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PREDLAGATELJ:</w:t>
            </w:r>
          </w:p>
        </w:tc>
        <w:tc>
          <w:tcPr>
            <w:tcW w:w="6349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  <w:p w:rsidR="0032651D" w:rsidRP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PRIPRAVIL:</w:t>
            </w:r>
          </w:p>
        </w:tc>
        <w:tc>
          <w:tcPr>
            <w:tcW w:w="6349" w:type="dxa"/>
          </w:tcPr>
          <w:p w:rsidR="0032651D" w:rsidRPr="0032651D" w:rsidRDefault="00216A16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Župan Srečko Geč in občinska uprava Občine Ribnica na Pohorju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POROČEVALEC:</w:t>
            </w:r>
          </w:p>
        </w:tc>
        <w:tc>
          <w:tcPr>
            <w:tcW w:w="6349" w:type="dxa"/>
          </w:tcPr>
          <w:p w:rsidR="0032651D" w:rsidRPr="0032651D" w:rsidRDefault="00216A16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OBRAVNAVAL:</w:t>
            </w:r>
          </w:p>
        </w:tc>
        <w:tc>
          <w:tcPr>
            <w:tcW w:w="6349" w:type="dxa"/>
          </w:tcPr>
          <w:p w:rsidR="0032651D" w:rsidRPr="0032651D" w:rsidRDefault="00216A16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/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SKLEPA:</w:t>
            </w:r>
          </w:p>
        </w:tc>
        <w:tc>
          <w:tcPr>
            <w:tcW w:w="6349" w:type="dxa"/>
          </w:tcPr>
          <w:p w:rsidR="0032651D" w:rsidRDefault="00216A16" w:rsidP="00333C11">
            <w:pPr>
              <w:autoSpaceDE w:val="0"/>
              <w:autoSpaceDN w:val="0"/>
              <w:adjustRightInd w:val="0"/>
              <w:ind w:left="-22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 w:rsidRPr="00BF7646">
              <w:rPr>
                <w:rFonts w:cs="Arial"/>
                <w:b/>
              </w:rPr>
              <w:t xml:space="preserve">Občinski svet Občine Ribnica na Pohorju </w:t>
            </w:r>
            <w:r w:rsidR="00721942" w:rsidRPr="00BF7646">
              <w:rPr>
                <w:rFonts w:cs="Arial"/>
                <w:b/>
              </w:rPr>
              <w:t xml:space="preserve">potrdi in </w:t>
            </w:r>
            <w:r w:rsidRPr="00BF7646">
              <w:rPr>
                <w:rFonts w:cs="Arial"/>
                <w:b/>
              </w:rPr>
              <w:t xml:space="preserve">sprejme </w:t>
            </w:r>
            <w:r w:rsidR="006F6009" w:rsidRPr="00BF7646">
              <w:rPr>
                <w:rFonts w:cs="Arial"/>
                <w:b/>
              </w:rPr>
              <w:t>Odlok o r</w:t>
            </w:r>
            <w:r w:rsidRPr="00BF7646">
              <w:rPr>
                <w:rFonts w:cs="Arial"/>
                <w:b/>
              </w:rPr>
              <w:t>ebalans</w:t>
            </w:r>
            <w:r w:rsidR="006F6009" w:rsidRPr="00BF7646">
              <w:rPr>
                <w:rFonts w:cs="Arial"/>
                <w:b/>
              </w:rPr>
              <w:t xml:space="preserve">u </w:t>
            </w:r>
            <w:r w:rsidRPr="00BF7646">
              <w:rPr>
                <w:rFonts w:cs="Arial"/>
                <w:b/>
              </w:rPr>
              <w:t>proračuna Občin</w:t>
            </w:r>
            <w:r w:rsidR="00721942" w:rsidRPr="00BF7646">
              <w:rPr>
                <w:rFonts w:cs="Arial"/>
                <w:b/>
              </w:rPr>
              <w:t xml:space="preserve">e Ribnica na Pohorju za leto </w:t>
            </w:r>
            <w:r w:rsidR="0096360C">
              <w:rPr>
                <w:rFonts w:cs="Arial"/>
                <w:b/>
              </w:rPr>
              <w:t>2024 (</w:t>
            </w:r>
            <w:r w:rsidR="00333C11">
              <w:rPr>
                <w:rFonts w:cs="Arial"/>
                <w:b/>
              </w:rPr>
              <w:t>3</w:t>
            </w:r>
            <w:r w:rsidR="0096360C">
              <w:rPr>
                <w:rFonts w:cs="Arial"/>
                <w:b/>
              </w:rPr>
              <w:t>)</w:t>
            </w:r>
            <w:r w:rsidR="00721942" w:rsidRPr="00BF7646">
              <w:rPr>
                <w:rFonts w:cs="Arial"/>
                <w:b/>
              </w:rPr>
              <w:t xml:space="preserve"> z vsemi prilogami</w:t>
            </w:r>
          </w:p>
        </w:tc>
      </w:tr>
      <w:tr w:rsidR="00216A16" w:rsidTr="00A850F1">
        <w:tc>
          <w:tcPr>
            <w:tcW w:w="2711" w:type="dxa"/>
          </w:tcPr>
          <w:p w:rsidR="00216A16" w:rsidRDefault="00216A16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</w:p>
        </w:tc>
        <w:tc>
          <w:tcPr>
            <w:tcW w:w="6349" w:type="dxa"/>
          </w:tcPr>
          <w:p w:rsidR="00216A16" w:rsidRDefault="00216A16" w:rsidP="00216A16">
            <w:pPr>
              <w:autoSpaceDE w:val="0"/>
              <w:autoSpaceDN w:val="0"/>
              <w:adjustRightInd w:val="0"/>
              <w:ind w:left="-22"/>
              <w:rPr>
                <w:rFonts w:cs="Arial"/>
                <w:b/>
              </w:rPr>
            </w:pPr>
          </w:p>
        </w:tc>
      </w:tr>
      <w:tr w:rsidR="0032651D" w:rsidTr="003B75E4">
        <w:tc>
          <w:tcPr>
            <w:tcW w:w="2711" w:type="dxa"/>
            <w:tcBorders>
              <w:bottom w:val="nil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PRAVNA PODLAGA:</w:t>
            </w:r>
          </w:p>
        </w:tc>
        <w:tc>
          <w:tcPr>
            <w:tcW w:w="6349" w:type="dxa"/>
            <w:tcBorders>
              <w:bottom w:val="nil"/>
            </w:tcBorders>
          </w:tcPr>
          <w:p w:rsidR="0032651D" w:rsidRPr="0032651D" w:rsidRDefault="00216A16" w:rsidP="009A1EA4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 w:rsidRPr="003B75E4">
              <w:rPr>
                <w:rFonts w:cs="Arial"/>
                <w:b/>
                <w:bCs/>
                <w:szCs w:val="22"/>
              </w:rPr>
              <w:t>Zakon o lokalni samoupravi</w:t>
            </w:r>
            <w:r w:rsidRPr="00216A16">
              <w:rPr>
                <w:rFonts w:cs="Arial"/>
                <w:bCs/>
                <w:szCs w:val="22"/>
              </w:rPr>
              <w:t xml:space="preserve"> (Uradni </w:t>
            </w:r>
            <w:r w:rsidRPr="00216A16">
              <w:rPr>
                <w:rFonts w:cs="Arial"/>
                <w:bCs/>
                <w:szCs w:val="20"/>
              </w:rPr>
              <w:t xml:space="preserve">list RS </w:t>
            </w:r>
            <w:r w:rsidRPr="00216A16">
              <w:rPr>
                <w:rFonts w:cs="Arial"/>
                <w:szCs w:val="20"/>
              </w:rPr>
              <w:t xml:space="preserve">št. </w:t>
            </w:r>
            <w:hyperlink r:id="rId6" w:tgtFrame="_blank" w:tooltip="Zakon o lokalni samoupravi (ZLS) z dne 31.12.1993. Uporablja se od 15.1.1994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72/93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7" w:tgtFrame="_blank" w:tooltip="Odločba ustavnega sodišča o razveljavitvi prvega odstavka 95. člena zakona o lokalni samoupravi z dne 11.2.1994. Uporablja se od 12.2.1994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6/94 -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8" w:tgtFrame="_blank" w:tooltip="Odločba ustavnega sodišča o pobudi Državljanske pobude Slovenska Istra iz Kopra in skupine občanov iz Dekanov za oceno ustavnosti in zakonitosti odloka o določitvi referendumskega območja za ustanovitev občine Koper in odloka o razpisu referenduma za ustanovit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45/94 -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9" w:tgtFrame="_blank" w:tooltip="Zakon o spremembah in dopolnitvah zakona o lokalni samoupravi (ZLS-A) z dne 29.9.1994. Uporablja se od 30.9.1994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57/94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10" w:tgtFrame="_blank" w:tooltip="Zakon o spremembah in dopolnitvah zakona o lokalni samoupravi (ZLS-B) z dne 10.3.1995. Uporablja se od 11.3.1995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14/95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11" w:tgtFrame="_blank" w:tooltip="Odločba o razveljavitvi prvega odstavka 101. člena zakona o upravi in tretjega odstavka 99.a člena zakona o lokalni samoupravi z dne 7.4.1995. Uporablja se od 1.6.1995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20/95 -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12" w:tgtFrame="_blank" w:tooltip="Obvezna razlaga 19. člena zakona o lokalni samoupravi (Uradni list RS, št. 72/93, 6/94 - odločba US, 45/94 - odločba US, 57/94, 14/95 in 20/95 - odločba US) - (ORZLS19) z dne 6.11.1995. Uporablja se od 6.11.1995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63/95 - ORZLS19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13" w:tgtFrame="_blank" w:tooltip="Odločba o ugotovitvi neskladnosti z ustavo: 2. in 3. člena zakona o ustanovitvi občin o določitvi njihovih območij, devetega in petega odstavka 16. člena zakona o lokalni samoupravi in zakona o lokalni samoupravi, kolikor ne določa... z dne 22.12.1995. Uporabl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73/95 -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14" w:tgtFrame="_blank" w:tooltip="Odločba o razveljavitvi drugega stavka tretjega odstavka 64. člena zakona o lokalni samoupravi z dne 16.2.1996. Uporablja se od 17.2.1996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9/96 -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15" w:tgtFrame="_blank" w:tooltip="Odločba o ugotovitvi skladnosti tretjega odtavka 18. člena in dela 19. člena zakona o lokalni samoupravi v ustavo ter o ugotovitvi neskladnosti zakonske ureditve z ustavo, ker ne ureja glavnih statusnopravnih značilnosti ožjih delov občin s pravno subjektivite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39/96 -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16" w:tgtFrame="_blank" w:tooltip="Odločba o: - razveljavitvi 1. člena zakona o prevzemu državnih funkcij, ki so jih do 31. 12. 1994 opravljali organi občin, - razveljavitvi prvega odstavka 99.a člena zakona o lokalni samoupravi, - razveljavitvi naslednjih točk v 3.... z dne 9.8.1996. Uporablja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44/96 -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17" w:tgtFrame="_blank" w:tooltip="Zakon o dopolnitvi zakona o lokalni samoupravi (ZLS-G) z dne 16.5.1997. Uporablja se od 31.5.1997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26/97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18" w:tgtFrame="_blank" w:tooltip="Zakon o spremembah in dopolnitvah zakona o lokalni samoupravi (ZLS-H) z dne 14.11.1997. Uporablja se od 15.11.1997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70/97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19" w:tgtFrame="_blank" w:tooltip="Zakon o spremembah in dopolnitvah zakona o izvrševanju proračuna (ZIPRS-A) z dne 12.12.1997. Uporablja se od 13.12.1997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78/97 - ZIPRS-A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20" w:tgtFrame="_blank" w:tooltip="Zakon o spremembi zakona o lokalni samoupravi (ZLS-I) z dne 12.2.1998. Uporablja se od 13.2.1998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10/98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21" w:tgtFrame="_blank" w:tooltip="Zakon o spremembah in dopolnitvah zakona o izvrševanju proračuna Republike Slovenije (ZIPRS-B) z dne 28.4.1998. Uporablja se od 29.4.1998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34/98 - ZIPRS-B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22" w:tgtFrame="_blank" w:tooltip="Odločba o razveljavitvi četrte alinee prvega odstavka 37.a člena zakona o lokalni samoupravi v obsegu, kolikor je veljala pred njeno uveljavitvijo z dne 5.10.1998. Uporablja se od 6.10.1998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68/98 -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23" w:tgtFrame="_blank" w:tooltip="Zakon o spremembah in dopolnitvah zakona o lokalni samoupravi (ZLS-J) z dne 3.11.1998. Uporablja se od 18.11.1998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74/98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24" w:tgtFrame="_blank" w:tooltip="Odločba o razveljavitvi tretjega odstavka 51.b člena, 51.c člena ter prvega, drugega in šestega odstavka 100. člena zakona o lokalni samoupravi z dne 23.7.1999. Uporablja se od 24.6.1999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59/99 -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25" w:tgtFrame="_blank" w:tooltip="Zakon o spremembah in dopolnitvah zakona o lokalni samoupravi (ZLS-K) z dne 8.8.2000. Uporablja se od 9.8.2000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70/00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26" w:tgtFrame="_blank" w:tooltip="Ugotovitev, da sta zakon o lokalni samoupravi in statut Mestne občine Novo mesto v neskladju z ustavo in zakonom z dne 19.4.2001. Uporablja se od 20.4.2001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28/01 -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27" w:tgtFrame="_blank" w:tooltip="Zakon o samoprispevku (ZSam-1) z dne 8.11.2001. Uporablja se od 23.11.2001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87/01 - ZSam-1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28" w:tgtFrame="_blank" w:tooltip="Zakon o spremembah in dopolnitvah zakona o lokalni samoupravi (ZLS-L) z dne 11.6.2002. Uporablja se od 12.6.2002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51/02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29" w:tgtFrame="_blank" w:tooltip="Odločba o razveljavitvi 90.b člena Zakona o lokalni samoupravi z dne 7.11.2003. Uporablja se od 8.11.2003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108/03 -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30" w:tgtFrame="_blank" w:tooltip="Zakon o spremembah in dopolnitvah Zakona o lokalni samoupravi (ZLS-M) z dne 29.7.2005. Uporablja se od 13.8.2005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72/05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31" w:tgtFrame="_blank" w:tooltip="Odločba o razveljavitvi tretjega odstavka 14.a člena Zakona o lokalni samoupravi, o delni razveljavitvi sklepa Državnega zbora po drugem odstavku 14.a člena Zakona o lokalni samoupravi z dne 27.2.2006. Uporablja se od 27.2.2007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21/06 -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32" w:tgtFrame="_blank" w:tooltip="Zakon o stvarnem premoženju države, pokrajin in občin (ZSPDPO) z dne 16.2.2007. Uporablja se od 3.9.2007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14/07 - ZSPDPO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33" w:tgtFrame="_blank" w:tooltip="Zakon o spremembah in dopolnitvah Zakona o lokalni samoupravi (ZLS-N) z dne 6.7.2007. Uporablja se od 21.7.2007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60/07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34" w:tgtFrame="_blank" w:tooltip="Odločba o ugotovitvi, da je bil tretji odstavek 37.b člena Zakona o lokalni samoupravi v neskladju z Ustavo, in o razveljavitvi sodbe Vrhovnega sodišča, sodbe Upravnega sodišča ter sklepa Občinskega sveta Občine Tržič z dne 18.3.2008. Uporablja se od 19.3.2008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27/08 -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35" w:tgtFrame="_blank" w:tooltip="Zakon o dopolnitvi Zakona o lokalni samoupravi (ZLS-O) z dne 25.7.2008. Uporablja se od 9.8.2008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76/08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36" w:tgtFrame="_blank" w:tooltip="Zakon o spremembah in dopolnitvah Zakona o lokalni samoupravi (ZLS-P) z dne 9.10.2009. Uporablja se od 24.10.2009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79/09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37" w:tgtFrame="_blank" w:tooltip="Zakon o spremembah in dopolnitvah Zakona o lokalni samoupravi (ZLS-R) z dne 28.6.2010. Uporablja se od 13.7.2010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51/10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38" w:tgtFrame="_blank" w:tooltip="Zakon za uravnoteženje javnih financ (ZUJF) z dne 30.5.2012. Uporablja se od 31.5.2012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40/12 - ZUJF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39" w:tgtFrame="_blank" w:tooltip="Zakon o ukrepih za uravnoteženje javnih financ občin (ZUUJFO) z dne 28.2.2015. Uporablja se od 15.3.2015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14/15 - ZUUJFO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40" w:tgtFrame="_blank" w:tooltip="Odločba o ugotovitvi, da drugi odstavek 11. člena Zakona o financiranju občin in 55. člen Zakona o izvrševanju proračunov za leti 2016 in 2017 nista v neskladju z Ustavo, da je sedmi odstavek 86.a člena Zakona o lokalni samoupravi v neskladju z Ustavo ter o ra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76/16 -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41" w:tgtFrame="_blank" w:tooltip="Zakon o stvarnem premoženju države in samoupravnih lokalnih skupnosti (ZSPDSLS-1) z dne 23.2.2018. Uporablja se od 10.3.2018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11/18 - ZSPDSLS-1</w:t>
              </w:r>
            </w:hyperlink>
            <w:r w:rsidR="003B75E4">
              <w:rPr>
                <w:rFonts w:cs="Arial"/>
                <w:szCs w:val="20"/>
              </w:rPr>
              <w:t xml:space="preserve">, </w:t>
            </w:r>
            <w:hyperlink r:id="rId42" w:tgtFrame="_blank" w:tooltip="Zakon o spremembah in dopolnitvah Zakona o lokalni samoupravi (ZLS-S) z dne 26.4.2018. Uporablja se od 11.5.2018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30/18</w:t>
              </w:r>
            </w:hyperlink>
            <w:r w:rsidR="003B75E4" w:rsidRPr="003B75E4">
              <w:rPr>
                <w:rStyle w:val="Hiperpovezava"/>
                <w:rFonts w:cs="Arial"/>
                <w:color w:val="auto"/>
                <w:szCs w:val="20"/>
              </w:rPr>
              <w:t xml:space="preserve">, </w:t>
            </w:r>
            <w:r w:rsidR="003B75E4" w:rsidRPr="003B75E4">
              <w:rPr>
                <w:rFonts w:cs="Arial"/>
                <w:szCs w:val="20"/>
                <w:shd w:val="clear" w:color="auto" w:fill="FFFFFF"/>
              </w:rPr>
              <w:t> </w:t>
            </w:r>
            <w:hyperlink r:id="rId43" w:tgtFrame="_blank" w:tooltip="Zakon o spremembah in dopolnitvah Zakona o interventnih ukrepih za zajezitev epidemije COVID-19 in omilitev njenih posledic za državljane in gospodarstvo (ZIUZEOP-A) z dne 30.4.2020. Uporablja se od 1.5.2020" w:history="1"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61/20 - ZIUZEOP-A</w:t>
              </w:r>
            </w:hyperlink>
            <w:r w:rsidR="003B75E4" w:rsidRPr="003B75E4">
              <w:rPr>
                <w:rFonts w:cs="Arial"/>
                <w:szCs w:val="20"/>
                <w:shd w:val="clear" w:color="auto" w:fill="FFFFFF"/>
              </w:rPr>
              <w:t>, </w:t>
            </w:r>
            <w:hyperlink r:id="rId44" w:tgtFrame="_blank" w:tooltip="Zakon o interventnih ukrepih za omilitev in odpravo posledic epidemije COVID-19 (ZIUOOPE) z dne 30.5.2020. Uporablja se od 31.5.2020" w:history="1"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80/20 - ZIUOOPE</w:t>
              </w:r>
            </w:hyperlink>
            <w:r w:rsidRPr="003B75E4">
              <w:rPr>
                <w:rFonts w:cs="Arial"/>
                <w:szCs w:val="20"/>
              </w:rPr>
              <w:t>)</w:t>
            </w:r>
            <w:r w:rsidRPr="00216A16">
              <w:rPr>
                <w:rFonts w:cs="Arial"/>
                <w:szCs w:val="20"/>
              </w:rPr>
              <w:t xml:space="preserve">, </w:t>
            </w:r>
            <w:r w:rsidRPr="003B75E4">
              <w:rPr>
                <w:rFonts w:cs="Arial"/>
                <w:b/>
                <w:szCs w:val="20"/>
              </w:rPr>
              <w:t>Zakon o javnih financah</w:t>
            </w:r>
            <w:r w:rsidRPr="00216A16">
              <w:rPr>
                <w:rFonts w:cs="Arial"/>
                <w:szCs w:val="20"/>
              </w:rPr>
              <w:t xml:space="preserve"> (Uradni list RS, št. . </w:t>
            </w:r>
            <w:hyperlink r:id="rId45" w:tgtFrame="_blank" w:tooltip="Zakon o javnih financah (ZJF) z dne 30.9.1999. Uporablja se od 15.10.1999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79/99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46" w:tgtFrame="_blank" w:tooltip="Zakon o dopolnitvi zakona o javnih financah (ZJF-A) z dne 29.12.2000. Uporablja se od 30.12.2000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124/00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47" w:tgtFrame="_blank" w:tooltip="Zakon o spremembah in dopolnitvah zakona o javnih financah (ZJF-B) z dne 10.10.2001. Uporablja se od 11.10.2001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79/01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48" w:tgtFrame="_blank" w:tooltip="Zakon o spremembah in dopolnitvah zakona o javnih financah (ZJF-C) z dne 5.4.2002. Uporablja se od 20.4.2002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30/02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49" w:tgtFrame="_blank" w:tooltip="Zakon o javnih uslužbencih (ZJU) z dne 28.6.2002. Uporablja se od 28.6.2003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56/02 - ZJU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50" w:tgtFrame="_blank" w:tooltip="Zakon o spremembah in dopolnitvah zakona o državnem tožilstvu (ZDT-B) z dne 18.12.2002. Uporablja se od 2.1.2003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110/02 - ZDT-B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51" w:tgtFrame="_blank" w:tooltip="Zakon o javno-zasebnem partnerstvu (ZJZP) z dne 7.12.2006. Uporablja se od 7.3.2007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127/06 - ZJZP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52" w:tgtFrame="_blank" w:tooltip="Zakon o stvarnem premoženju države, pokrajin in občin (ZSPDPO) z dne 16.2.2007. Uporablja se od 3.9.2007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14/07 - ZSPDPO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53" w:tgtFrame="_blank" w:tooltip="Zakon o spremembi in dopolnitvah Zakona o javnih financah (ZJF-D) z dne 19.11.2008. Uporablja se od 20.11.2008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109/08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54" w:tgtFrame="_blank" w:tooltip="Zakon o spremembah in dopolnitvah Zakona o javnih financah (ZJF-E) z dne 29.6.2009. Uporablja se od 30.6.2009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49/09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55" w:tgtFrame="_blank" w:tooltip="Zakon o upravljanju kapitalskih naložb Republike Slovenije (ZUKN) z dne 14.5.2010. Uporablja se od 29.5.2010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38/10 - ZUKN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56" w:tgtFrame="_blank" w:tooltip="Zakon o spremembah in dopolnitvah Zakona o javnih financah (ZJF-F) z dne 29.12.2010. Uporablja se od 30.12.2010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107/10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57" w:tgtFrame="_blank" w:tooltip="Zakon o dodatnih interventnih ukrepih za leto 2012 (ZDIU12) z dne 31.12.2011. Uporablja se od 1.1.2012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110/11 - ZDIU12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58" w:tgtFrame="_blank" w:tooltip="Zakon o izvrševanju proračunov Republike Slovenije za leti 2013 in 2014 (ZIPRS1314) z dne 24.12.2012. Uporablja se od 1.1.2013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104/12 - ZIPRS1314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59" w:tgtFrame="_blank" w:tooltip="Popravek Uradnega prečiščenega besedila Zakona o javnih financah (ZJF-UPB4p) z dne 15.2.2013. Uporablja se od 15.2.2013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14/13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60" w:tgtFrame="_blank" w:tooltip="Zakon o spremembah in dopolnitvah Zakona o izvrševanju proračunov Republike Slovenije za leti 2013 in 2014 (ZIPRS1314-A) z dne 29.5.2013. Uporablja se od 1.6.2013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46/13 - ZIPRS1314-A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61" w:tgtFrame="_blank" w:tooltip="Zakon o spremembah in dopolnitvah Zakona o izvrševanju proračunov Republike Slovenije za leti 2013 in 2014 (ZIPRS1314-C) z dne 8.10.2013. Uporablja se od 9.10.2013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82/13 - ZIPRS1314-C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62" w:tgtFrame="_blank" w:tooltip="Zakon o dopolnitvi Zakona o javnih financah (ZJF-G) z dne 9.12.2013. Uporablja se od 10.12.2013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101/13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63" w:tgtFrame="_blank" w:tooltip="Zakon o izvrševanju proračunov Republike Slovenije za leti 2014 in 2015 (ZIPRS1415) z dne 9.12.2013. Uporablja se od 1.1.2014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101/13 - ZIPRS1415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64" w:tgtFrame="_blank" w:tooltip="Zakon o spremembah in dopolnitvah Zakona o izvrševanju proračunov Republike Slovenije za leti 2014 in 2015 (ZIPRS1415-A) z dne 30.5.2014. Uporablja se od 31.5.2014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38/14 - ZIPRS1415-A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65" w:tgtFrame="_blank" w:tooltip="Zakon o spremembah in dopolnitvah Zakona o izvrševanju proračunov Republike Slovenije za leti 2014 in 2015 (ZIPRS1415-C) z dne 29.12.2014. Uporablja se od 30.12.2014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95/14 - ZIPRS1415-C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66" w:tgtFrame="_blank" w:tooltip="Zakon o spremembah in dopolnitvah Zakona o izvrševanju proračunov Republike Slovenije za leti 2014 in 2015 (ZIPRS1415-D) z dne 28.2.2015. Uporablja se od 1.3.2015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14/15 - ZIPRS1415-D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67" w:tgtFrame="_blank" w:tooltip="Zakon o fiskalnem pravilu (ZFisP) z dne 24.7.2015. Uporablja se od 25.7.2015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 xml:space="preserve">55/15 - </w:t>
              </w:r>
              <w:proofErr w:type="spellStart"/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ZFisP</w:t>
              </w:r>
              <w:proofErr w:type="spellEnd"/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68" w:tgtFrame="_blank" w:tooltip="Zakon o izvrševanju proračunov Republike Slovenije za leti 2016 in 2017 (ZIPRS1617) z dne 11.12.2015. Uporablja se od 12.12.2015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96/15 - ZIPRS1617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69" w:tgtFrame="_blank" w:tooltip="Zakon o izvrševanju proračunov Republike Slovenije za leti 2017 in 2018 (ZIPRS1718) z dne 15.12.2016. Uporablja se od 1.1.2017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80/16 - ZIPRS1718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70" w:tgtFrame="_blank" w:tooltip="Zakon o spremembah in dopolnitvah Zakona o izvrševanju proračunov Republike Slovenije za leti 2017 in 2018 (ZIPRS1718-A) z dne 30.6.2017. Uporablja se od 1.7.2017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33/17 - ZIPRS1718-A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71" w:tgtFrame="_blank" w:tooltip="Zakon o izvrševanju proračunov Republike Slovenije za leti 2018 in 2019 (ZIPRS1819) z dne 13.12.2017. Uporablja se od 14.12.2017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71/17 - ZIPRS1819</w:t>
              </w:r>
            </w:hyperlink>
            <w:r w:rsidRPr="00216A16">
              <w:rPr>
                <w:rFonts w:cs="Arial"/>
                <w:szCs w:val="20"/>
              </w:rPr>
              <w:t xml:space="preserve">, </w:t>
            </w:r>
            <w:hyperlink r:id="rId72" w:tgtFrame="_blank" w:tooltip="Zakon o spremembah in dopolnitvah Zakona o javnih financah (ZJF-H) z dne 28.2.2018. Uporablja se od 1.3.2018" w:history="1">
              <w:r w:rsidRPr="00216A16">
                <w:rPr>
                  <w:rStyle w:val="Hiperpovezava"/>
                  <w:rFonts w:cs="Arial"/>
                  <w:color w:val="auto"/>
                  <w:szCs w:val="20"/>
                </w:rPr>
                <w:t>13/18</w:t>
              </w:r>
            </w:hyperlink>
            <w:r w:rsidR="003B75E4" w:rsidRPr="003B75E4">
              <w:rPr>
                <w:rStyle w:val="Hiperpovezava"/>
                <w:rFonts w:cs="Arial"/>
                <w:color w:val="auto"/>
                <w:szCs w:val="20"/>
              </w:rPr>
              <w:t xml:space="preserve">, </w:t>
            </w:r>
            <w:r w:rsidR="003B75E4" w:rsidRPr="003B75E4">
              <w:rPr>
                <w:rFonts w:cs="Arial"/>
                <w:szCs w:val="20"/>
                <w:shd w:val="clear" w:color="auto" w:fill="FFFFFF"/>
              </w:rPr>
              <w:t> </w:t>
            </w:r>
            <w:hyperlink r:id="rId73" w:tgtFrame="_blank" w:tooltip="Zakon o izvrševanju proračunov Republike Slovenije za leti 2020 in 2021 (ZIPRS2021) z dne 12.12.2019. Uporablja se od 1.1.2020" w:history="1"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75/19 - ZIPRS2021</w:t>
              </w:r>
            </w:hyperlink>
            <w:r w:rsidR="003B75E4" w:rsidRPr="003B75E4">
              <w:rPr>
                <w:rFonts w:cs="Arial"/>
                <w:szCs w:val="20"/>
                <w:shd w:val="clear" w:color="auto" w:fill="FFFFFF"/>
              </w:rPr>
              <w:t>, </w:t>
            </w:r>
            <w:hyperlink r:id="rId74" w:tgtFrame="_blank" w:tooltip="Zakon o interventnih ukrepih na javnofinančnem področju (ZIUJP) z dne 28.3.2020. Uporablja se od 29.3.2020" w:history="1"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36/20 - ZIUJP</w:t>
              </w:r>
            </w:hyperlink>
            <w:r w:rsidR="003B75E4" w:rsidRPr="003B75E4">
              <w:rPr>
                <w:rFonts w:cs="Arial"/>
                <w:szCs w:val="20"/>
                <w:shd w:val="clear" w:color="auto" w:fill="FFFFFF"/>
              </w:rPr>
              <w:t>, </w:t>
            </w:r>
            <w:hyperlink r:id="rId75" w:tgtFrame="_blank" w:tooltip="Zakon o interventnih ukrepih za zajezitev epidemije COVID-19 in omilitev njenih posledic za državljane in gospodarstvo (ZIUZEOP) z dne 10.4.2020. Uporablja se od 11.4.2020" w:history="1"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49/20 - ZIUZEOP</w:t>
              </w:r>
            </w:hyperlink>
            <w:r w:rsidR="003B75E4" w:rsidRPr="003B75E4">
              <w:rPr>
                <w:rFonts w:cs="Arial"/>
                <w:szCs w:val="20"/>
                <w:shd w:val="clear" w:color="auto" w:fill="FFFFFF"/>
              </w:rPr>
              <w:t>, </w:t>
            </w:r>
            <w:hyperlink r:id="rId76" w:tgtFrame="_blank" w:tooltip="Zakon o spremembah in dopolnitvah Zakona o interventnih ukrepih za zajezitev epidemije COVID-19 in omilitev njenih posledic za državljane in gospodarstvo (ZIUZEOP-A) z dne 30.4.2020. Uporablja se od 1.5.2020" w:history="1"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61/20 - ZIUZEOP-A</w:t>
              </w:r>
            </w:hyperlink>
            <w:r w:rsidR="003B75E4" w:rsidRPr="003B75E4">
              <w:rPr>
                <w:rFonts w:cs="Arial"/>
                <w:szCs w:val="20"/>
                <w:shd w:val="clear" w:color="auto" w:fill="FFFFFF"/>
              </w:rPr>
              <w:t>, </w:t>
            </w:r>
            <w:hyperlink r:id="rId77" w:tgtFrame="_blank" w:tooltip="Sklep o ugotovitvi prenehanja razlogov za interventne ukrepe na podlagi Zakona o interventnih ukrepih na javnofinančnem področju z dne 19.6.2020. Uporablja se od 20.6.2020" w:history="1"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89/20</w:t>
              </w:r>
            </w:hyperlink>
            <w:r w:rsidR="003B75E4" w:rsidRPr="003B75E4">
              <w:rPr>
                <w:rFonts w:cs="Arial"/>
                <w:szCs w:val="20"/>
                <w:shd w:val="clear" w:color="auto" w:fill="FFFFFF"/>
              </w:rPr>
              <w:t>, </w:t>
            </w:r>
            <w:hyperlink r:id="rId78" w:tgtFrame="_blank" w:tooltip="Rebalans proračuna Republike Slovenije za leto 2020 (Rb2020) z dne 2.10.2020. Uporablja se od 3.10.2020" w:history="1"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133/20 - Rb2020</w:t>
              </w:r>
            </w:hyperlink>
            <w:r w:rsidR="003B75E4" w:rsidRPr="003B75E4">
              <w:rPr>
                <w:rFonts w:cs="Arial"/>
                <w:szCs w:val="20"/>
                <w:shd w:val="clear" w:color="auto" w:fill="FFFFFF"/>
              </w:rPr>
              <w:t>, </w:t>
            </w:r>
            <w:hyperlink r:id="rId79" w:tgtFrame="_blank" w:tooltip="Zakon o interventnih ukrepih za omilitev posledic drugega vala epidemije COVID-19 (ZIUOPDVE) z dne 27.11.2020. Uporablja se od 28.11.2020" w:history="1"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175/20 - ZIUOPDVE</w:t>
              </w:r>
            </w:hyperlink>
            <w:r w:rsidR="003B75E4" w:rsidRPr="003B75E4">
              <w:rPr>
                <w:rFonts w:cs="Arial"/>
                <w:szCs w:val="20"/>
                <w:shd w:val="clear" w:color="auto" w:fill="FFFFFF"/>
              </w:rPr>
              <w:t>, </w:t>
            </w:r>
            <w:hyperlink r:id="rId80" w:tgtFrame="_blank" w:tooltip="Zakon o izvrševanju proračunov Republike Slovenije za leti 2021 in 2022 (ZIPRS2122) z dne 27.11.2020. Uporablja se od 1.1.2021" w:history="1"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174/20 - ZIPRS2122</w:t>
              </w:r>
            </w:hyperlink>
            <w:r w:rsidR="003B75E4" w:rsidRPr="003B75E4">
              <w:rPr>
                <w:rFonts w:cs="Arial"/>
                <w:szCs w:val="20"/>
                <w:shd w:val="clear" w:color="auto" w:fill="FFFFFF"/>
              </w:rPr>
              <w:t>, </w:t>
            </w:r>
            <w:hyperlink r:id="rId81" w:tgtFrame="_blank" w:tooltip="Odločba o razveljavitvi 20. člena, drugega odstavka 40. člena, prvega odstavka 103. člena v zvezi s prvim in drugim odstavkom 102. člena Zakona o javnih financah, kolikor se nanašajo na Državni svet, Ustavno sodišče, Varuha človekovih pravic in Računsko sodišč" w:history="1"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 xml:space="preserve">195/20 - </w:t>
              </w:r>
              <w:proofErr w:type="spellStart"/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odl</w:t>
              </w:r>
              <w:proofErr w:type="spellEnd"/>
              <w:r w:rsidR="003B75E4" w:rsidRPr="003B75E4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. US</w:t>
              </w:r>
            </w:hyperlink>
            <w:r w:rsidR="009A1EA4">
              <w:rPr>
                <w:rStyle w:val="Hiperpovezava"/>
                <w:rFonts w:cs="Arial"/>
                <w:color w:val="auto"/>
                <w:szCs w:val="20"/>
                <w:shd w:val="clear" w:color="auto" w:fill="FFFFFF"/>
              </w:rPr>
              <w:t xml:space="preserve">, </w:t>
            </w:r>
            <w:hyperlink r:id="rId82" w:tgtFrame="_blank" w:tooltip="Zakon o spremembah in dopolnitvah Zakona o državni upravi (ZDU-1O) z dne 13.2.2023. Uporablja se od 14.2.2023" w:history="1">
              <w:r w:rsidR="009A1EA4" w:rsidRPr="009A1EA4">
                <w:rPr>
                  <w:rStyle w:val="Hiperpovezava"/>
                  <w:rFonts w:cs="Arial"/>
                  <w:color w:val="auto"/>
                  <w:sz w:val="21"/>
                  <w:szCs w:val="21"/>
                  <w:shd w:val="clear" w:color="auto" w:fill="FFFFFF"/>
                </w:rPr>
                <w:t>18/23 - ZDU-1O</w:t>
              </w:r>
            </w:hyperlink>
            <w:r w:rsidR="009A1EA4" w:rsidRPr="009A1EA4">
              <w:rPr>
                <w:rFonts w:cs="Arial"/>
                <w:sz w:val="21"/>
                <w:szCs w:val="21"/>
                <w:shd w:val="clear" w:color="auto" w:fill="FFFFFF"/>
              </w:rPr>
              <w:t>, </w:t>
            </w:r>
            <w:hyperlink r:id="rId83" w:tgtFrame="_blank" w:tooltip="Zakon o spremembah in dopolnitvah Zakona o javnih financah (ZJF-I) z dne 12.7.2023. Uporablja se od 27.7.2023" w:history="1">
              <w:r w:rsidR="009A1EA4" w:rsidRPr="009A1EA4">
                <w:rPr>
                  <w:rStyle w:val="Hiperpovezava"/>
                  <w:rFonts w:cs="Arial"/>
                  <w:color w:val="auto"/>
                  <w:sz w:val="21"/>
                  <w:szCs w:val="21"/>
                  <w:shd w:val="clear" w:color="auto" w:fill="FFFFFF"/>
                </w:rPr>
                <w:t>76/23</w:t>
              </w:r>
            </w:hyperlink>
            <w:r w:rsidR="009A1EA4" w:rsidRPr="009A1EA4">
              <w:rPr>
                <w:rFonts w:cs="Arial"/>
                <w:sz w:val="21"/>
                <w:szCs w:val="21"/>
                <w:shd w:val="clear" w:color="auto" w:fill="FFFFFF"/>
              </w:rPr>
              <w:t>, </w:t>
            </w:r>
            <w:hyperlink r:id="rId84" w:tgtFrame="_blank" w:tooltip="Zakon o spremembah in dopolnitvah Zakona o odpravi posledic naravnih nesreč (ZOPNN-F) z dne 10.8.2023. Uporablja se od 11.8.2023" w:history="1">
              <w:r w:rsidR="009A1EA4" w:rsidRPr="009A1EA4">
                <w:rPr>
                  <w:rStyle w:val="Hiperpovezava"/>
                  <w:rFonts w:cs="Arial"/>
                  <w:color w:val="auto"/>
                  <w:sz w:val="21"/>
                  <w:szCs w:val="21"/>
                  <w:shd w:val="clear" w:color="auto" w:fill="FFFFFF"/>
                </w:rPr>
                <w:t>88/23 - ZOPNN-F</w:t>
              </w:r>
            </w:hyperlink>
            <w:r w:rsidRPr="009A1EA4">
              <w:rPr>
                <w:rFonts w:cs="Arial"/>
                <w:szCs w:val="20"/>
              </w:rPr>
              <w:t>),</w:t>
            </w:r>
            <w:r w:rsidRPr="003B75E4">
              <w:rPr>
                <w:rFonts w:cs="Arial"/>
                <w:szCs w:val="20"/>
              </w:rPr>
              <w:t xml:space="preserve"> </w:t>
            </w:r>
            <w:r w:rsidRPr="003B75E4">
              <w:rPr>
                <w:rFonts w:cs="Arial"/>
                <w:b/>
                <w:szCs w:val="20"/>
              </w:rPr>
              <w:t>Statut Občine Ribni</w:t>
            </w:r>
            <w:r w:rsidR="0007122D" w:rsidRPr="003B75E4">
              <w:rPr>
                <w:rFonts w:cs="Arial"/>
                <w:b/>
                <w:szCs w:val="20"/>
              </w:rPr>
              <w:t>ca na Pohorju</w:t>
            </w:r>
            <w:r w:rsidR="0007122D">
              <w:rPr>
                <w:rFonts w:cs="Arial"/>
                <w:szCs w:val="20"/>
              </w:rPr>
              <w:t xml:space="preserve"> (MUV, št. 25/15,</w:t>
            </w:r>
            <w:r w:rsidRPr="00565FD0">
              <w:rPr>
                <w:rFonts w:cs="Arial"/>
                <w:szCs w:val="20"/>
              </w:rPr>
              <w:t xml:space="preserve"> 26/17</w:t>
            </w:r>
            <w:r w:rsidR="003B75E4">
              <w:rPr>
                <w:rFonts w:cs="Arial"/>
                <w:szCs w:val="20"/>
              </w:rPr>
              <w:t xml:space="preserve"> in </w:t>
            </w:r>
            <w:r w:rsidR="0007122D">
              <w:rPr>
                <w:rFonts w:cs="Arial"/>
                <w:szCs w:val="20"/>
              </w:rPr>
              <w:t>5/19</w:t>
            </w:r>
            <w:r w:rsidR="004D334F">
              <w:rPr>
                <w:rFonts w:cs="Arial"/>
                <w:szCs w:val="20"/>
              </w:rPr>
              <w:t xml:space="preserve">), </w:t>
            </w:r>
            <w:r w:rsidRPr="00565FD0">
              <w:rPr>
                <w:rFonts w:cs="Arial"/>
                <w:szCs w:val="20"/>
              </w:rPr>
              <w:t>in 85. člen</w:t>
            </w:r>
            <w:r w:rsidRPr="00565FD0">
              <w:rPr>
                <w:rFonts w:cs="Arial"/>
                <w:bCs/>
                <w:szCs w:val="20"/>
              </w:rPr>
              <w:t xml:space="preserve"> </w:t>
            </w:r>
            <w:r w:rsidRPr="003B75E4">
              <w:rPr>
                <w:rFonts w:cs="Arial"/>
                <w:b/>
                <w:szCs w:val="20"/>
              </w:rPr>
              <w:t>Poslovnika Občinskega sveta Občine Ribnica na Pohorju</w:t>
            </w:r>
            <w:r w:rsidRPr="00565FD0">
              <w:rPr>
                <w:rFonts w:cs="Arial"/>
                <w:szCs w:val="20"/>
              </w:rPr>
              <w:t xml:space="preserve"> (MUV, št. 25/15</w:t>
            </w:r>
            <w:r w:rsidR="004D334F">
              <w:rPr>
                <w:rFonts w:cs="Arial"/>
                <w:szCs w:val="20"/>
              </w:rPr>
              <w:t>,</w:t>
            </w:r>
            <w:r w:rsidRPr="00565FD0">
              <w:rPr>
                <w:rFonts w:cs="Arial"/>
                <w:szCs w:val="20"/>
              </w:rPr>
              <w:t xml:space="preserve"> 26/17</w:t>
            </w:r>
            <w:r w:rsidR="004D334F">
              <w:rPr>
                <w:rFonts w:cs="Arial"/>
                <w:szCs w:val="20"/>
              </w:rPr>
              <w:t xml:space="preserve"> in 5/19</w:t>
            </w:r>
            <w:r w:rsidRPr="00565FD0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.</w:t>
            </w:r>
          </w:p>
        </w:tc>
      </w:tr>
      <w:tr w:rsidR="0032651D" w:rsidTr="003B75E4">
        <w:tc>
          <w:tcPr>
            <w:tcW w:w="2711" w:type="dxa"/>
            <w:tcBorders>
              <w:right w:val="nil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OBRAZLOŽITEV:</w:t>
            </w:r>
          </w:p>
        </w:tc>
        <w:tc>
          <w:tcPr>
            <w:tcW w:w="6349" w:type="dxa"/>
            <w:tcBorders>
              <w:left w:val="nil"/>
            </w:tcBorders>
          </w:tcPr>
          <w:p w:rsidR="0032651D" w:rsidRPr="0032651D" w:rsidRDefault="0032651D" w:rsidP="00C93FC5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</w:p>
        </w:tc>
      </w:tr>
    </w:tbl>
    <w:p w:rsidR="001B0993" w:rsidRDefault="0007122D" w:rsidP="0007122D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63. člen Statuta določa, da rebalans proračuna predlaga župan, če v teku proračunskega leta ni možno uravnovesiti proračuna občine. Rebalans proračuna sprejme občinski svet z odlokom.</w:t>
      </w:r>
      <w:r w:rsidR="00EA4DE0">
        <w:rPr>
          <w:rFonts w:cs="Arial"/>
          <w:color w:val="000000"/>
          <w:szCs w:val="22"/>
        </w:rPr>
        <w:t xml:space="preserve"> 85. člen Poslovnika določa, da rebalans proračuna občine sprejema svet po določbah, ki urejajo obravnavo in sprejem dopolnjenega predloga proračuna. O predlogu rebalansa ni javne razprave.</w:t>
      </w:r>
    </w:p>
    <w:p w:rsidR="00130AEA" w:rsidRDefault="00130AEA" w:rsidP="0007122D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</w:p>
    <w:p w:rsidR="00545BD0" w:rsidRDefault="00A30C33" w:rsidP="00545BD0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Proračun Občine Ribnica na Pohorju je bil sprejet na </w:t>
      </w:r>
      <w:r w:rsidR="0096360C">
        <w:rPr>
          <w:rFonts w:cs="Arial"/>
          <w:color w:val="000000"/>
          <w:szCs w:val="22"/>
        </w:rPr>
        <w:t>8. redni seji OS dne, 19. 12. 2023</w:t>
      </w:r>
      <w:r w:rsidR="00333C11">
        <w:rPr>
          <w:rFonts w:cs="Arial"/>
          <w:color w:val="000000"/>
          <w:szCs w:val="22"/>
        </w:rPr>
        <w:t>,</w:t>
      </w:r>
      <w:r w:rsidR="00AA315D">
        <w:rPr>
          <w:rFonts w:cs="Arial"/>
          <w:color w:val="000000"/>
          <w:szCs w:val="22"/>
        </w:rPr>
        <w:t xml:space="preserve"> prvi r</w:t>
      </w:r>
      <w:r w:rsidR="00E12D45">
        <w:rPr>
          <w:rFonts w:cs="Arial"/>
          <w:color w:val="000000"/>
          <w:szCs w:val="22"/>
        </w:rPr>
        <w:t>ebalans na 10. redni seji, d</w:t>
      </w:r>
      <w:r w:rsidR="00AA315D">
        <w:rPr>
          <w:rFonts w:cs="Arial"/>
          <w:color w:val="000000"/>
          <w:szCs w:val="22"/>
        </w:rPr>
        <w:t>n</w:t>
      </w:r>
      <w:r w:rsidR="00E12D45">
        <w:rPr>
          <w:rFonts w:cs="Arial"/>
          <w:color w:val="000000"/>
          <w:szCs w:val="22"/>
        </w:rPr>
        <w:t>e</w:t>
      </w:r>
      <w:r w:rsidR="00AA315D">
        <w:rPr>
          <w:rFonts w:cs="Arial"/>
          <w:color w:val="000000"/>
          <w:szCs w:val="22"/>
        </w:rPr>
        <w:t xml:space="preserve"> 15. 4. 2024</w:t>
      </w:r>
      <w:r w:rsidR="00333C11">
        <w:rPr>
          <w:rFonts w:cs="Arial"/>
          <w:color w:val="000000"/>
          <w:szCs w:val="22"/>
        </w:rPr>
        <w:t xml:space="preserve"> in drugi rebalans na 12. redni seji, 1.10.2024</w:t>
      </w:r>
      <w:r w:rsidR="00AA315D">
        <w:rPr>
          <w:rFonts w:cs="Arial"/>
          <w:color w:val="000000"/>
          <w:szCs w:val="22"/>
        </w:rPr>
        <w:t xml:space="preserve">. </w:t>
      </w:r>
      <w:r w:rsidR="00545BD0">
        <w:rPr>
          <w:rFonts w:cs="Arial"/>
          <w:color w:val="000000"/>
          <w:szCs w:val="22"/>
        </w:rPr>
        <w:t xml:space="preserve">Obrazložitev </w:t>
      </w:r>
      <w:r w:rsidR="00333C11">
        <w:rPr>
          <w:rFonts w:cs="Arial"/>
          <w:color w:val="000000"/>
          <w:szCs w:val="22"/>
        </w:rPr>
        <w:t>tretjega</w:t>
      </w:r>
      <w:r w:rsidR="00AA315D">
        <w:rPr>
          <w:rFonts w:cs="Arial"/>
          <w:color w:val="000000"/>
          <w:szCs w:val="22"/>
        </w:rPr>
        <w:t xml:space="preserve"> </w:t>
      </w:r>
      <w:r w:rsidR="00545BD0">
        <w:rPr>
          <w:rFonts w:cs="Arial"/>
          <w:color w:val="000000"/>
          <w:szCs w:val="22"/>
        </w:rPr>
        <w:t xml:space="preserve">rebalansa in </w:t>
      </w:r>
      <w:r w:rsidR="00AA315D">
        <w:rPr>
          <w:rFonts w:cs="Arial"/>
          <w:color w:val="000000"/>
          <w:szCs w:val="22"/>
        </w:rPr>
        <w:t>ostali</w:t>
      </w:r>
      <w:r w:rsidR="00545BD0">
        <w:rPr>
          <w:rFonts w:cs="Arial"/>
          <w:color w:val="000000"/>
          <w:szCs w:val="22"/>
        </w:rPr>
        <w:t xml:space="preserve"> obvezni dokumenti so priloženi.</w:t>
      </w:r>
    </w:p>
    <w:p w:rsidR="00083F7B" w:rsidRDefault="00083F7B" w:rsidP="00545BD0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</w:p>
    <w:p w:rsidR="00333C11" w:rsidRDefault="00333C11" w:rsidP="00545BD0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</w:p>
    <w:p w:rsidR="001B0993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  <w:t>Srečko GEČ</w:t>
      </w:r>
    </w:p>
    <w:p w:rsidR="001B0993" w:rsidRPr="00161F1B" w:rsidRDefault="00317A29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 xml:space="preserve">   ŽUPAN </w:t>
      </w:r>
    </w:p>
    <w:sectPr w:rsidR="001B0993" w:rsidRPr="00161F1B" w:rsidSect="00083F7B">
      <w:pgSz w:w="11906" w:h="16838"/>
      <w:pgMar w:top="993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51048"/>
    <w:rsid w:val="0007122D"/>
    <w:rsid w:val="00083F7B"/>
    <w:rsid w:val="000F6026"/>
    <w:rsid w:val="00111FF5"/>
    <w:rsid w:val="00130AEA"/>
    <w:rsid w:val="00140F67"/>
    <w:rsid w:val="00161F1B"/>
    <w:rsid w:val="001A3995"/>
    <w:rsid w:val="001B0993"/>
    <w:rsid w:val="00216A16"/>
    <w:rsid w:val="00317A29"/>
    <w:rsid w:val="0032651D"/>
    <w:rsid w:val="00333C11"/>
    <w:rsid w:val="003B75E4"/>
    <w:rsid w:val="003D4472"/>
    <w:rsid w:val="003F1CEE"/>
    <w:rsid w:val="004213C4"/>
    <w:rsid w:val="004D334F"/>
    <w:rsid w:val="00512F19"/>
    <w:rsid w:val="0051375E"/>
    <w:rsid w:val="00545BD0"/>
    <w:rsid w:val="005A55E1"/>
    <w:rsid w:val="005C3725"/>
    <w:rsid w:val="00694016"/>
    <w:rsid w:val="006E242B"/>
    <w:rsid w:val="006F6009"/>
    <w:rsid w:val="00721942"/>
    <w:rsid w:val="0093108F"/>
    <w:rsid w:val="00937A74"/>
    <w:rsid w:val="0096360C"/>
    <w:rsid w:val="009A1EA4"/>
    <w:rsid w:val="00A30C33"/>
    <w:rsid w:val="00A741A9"/>
    <w:rsid w:val="00A850F1"/>
    <w:rsid w:val="00AA315D"/>
    <w:rsid w:val="00BF7646"/>
    <w:rsid w:val="00C406D8"/>
    <w:rsid w:val="00C93FC5"/>
    <w:rsid w:val="00CD2A9B"/>
    <w:rsid w:val="00E12D45"/>
    <w:rsid w:val="00E13A62"/>
    <w:rsid w:val="00E37853"/>
    <w:rsid w:val="00E411B6"/>
    <w:rsid w:val="00EA4DE0"/>
    <w:rsid w:val="00E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table" w:styleId="Tabelamrea">
    <w:name w:val="Table Grid"/>
    <w:basedOn w:val="Navadnatabela"/>
    <w:uiPriority w:val="39"/>
    <w:rsid w:val="00326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216A16"/>
    <w:rPr>
      <w:strike w:val="0"/>
      <w:dstrike w:val="0"/>
      <w:color w:val="1485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tax-fin-lex.si/Dokument/Podrobnosti?rootEntityId=aE_2f113dad-fa11-4b69-9cb6-a03966c81dc3" TargetMode="External"/><Relationship Id="rId21" Type="http://schemas.openxmlformats.org/officeDocument/2006/relationships/hyperlink" Target="https://www.tax-fin-lex.si/Dokument/Podrobnosti?rootEntityId=aE_e675e018-ba21-4dd8-82a9-85716cc586b4" TargetMode="External"/><Relationship Id="rId42" Type="http://schemas.openxmlformats.org/officeDocument/2006/relationships/hyperlink" Target="https://www.tax-fin-lex.si/Dokument/Podrobnosti?rootEntityId=66ebd4c5-e724-4c82-b9c3-f08cc4dfac81" TargetMode="External"/><Relationship Id="rId47" Type="http://schemas.openxmlformats.org/officeDocument/2006/relationships/hyperlink" Target="https://www.tax-fin-lex.si/Dokument/Podrobnosti?rootEntityId=aE_09011501-390e-4af7-a2b7-9c1f6c0cc7b5" TargetMode="External"/><Relationship Id="rId63" Type="http://schemas.openxmlformats.org/officeDocument/2006/relationships/hyperlink" Target="https://www.tax-fin-lex.si/Dokument/Podrobnosti?rootEntityId=0ec7ecdd-fdac-4a2c-923f-723f2a099066" TargetMode="External"/><Relationship Id="rId68" Type="http://schemas.openxmlformats.org/officeDocument/2006/relationships/hyperlink" Target="https://www.tax-fin-lex.si/Dokument/Podrobnosti?rootEntityId=c1b81ac5-288f-44f5-a6af-40251131e40e" TargetMode="External"/><Relationship Id="rId84" Type="http://schemas.openxmlformats.org/officeDocument/2006/relationships/hyperlink" Target="https://www.tax-fin-lex.si/Dokument/Podrobnosti?rootEntityId=909fe6c3-b481-4270-9fb8-35da81dca427" TargetMode="External"/><Relationship Id="rId16" Type="http://schemas.openxmlformats.org/officeDocument/2006/relationships/hyperlink" Target="https://www.tax-fin-lex.si/Dokument/Podrobnosti?rootEntityId=aE_6acb27d9-7d43-41fc-a711-d3f7ed24f15f" TargetMode="External"/><Relationship Id="rId11" Type="http://schemas.openxmlformats.org/officeDocument/2006/relationships/hyperlink" Target="https://www.tax-fin-lex.si/Dokument/Podrobnosti?rootEntityId=aE_abb6d7c1-5bfe-46e2-8e54-4409e168d699" TargetMode="External"/><Relationship Id="rId32" Type="http://schemas.openxmlformats.org/officeDocument/2006/relationships/hyperlink" Target="https://www.tax-fin-lex.si/Dokument/Podrobnosti?rootEntityId=aE_fdf42a3e-b1fb-4f77-8bb7-90c74295e207" TargetMode="External"/><Relationship Id="rId37" Type="http://schemas.openxmlformats.org/officeDocument/2006/relationships/hyperlink" Target="https://www.tax-fin-lex.si/Dokument/Podrobnosti?rootEntityId=5a398ba3-df18-4316-a8bb-50250e45cf70" TargetMode="External"/><Relationship Id="rId53" Type="http://schemas.openxmlformats.org/officeDocument/2006/relationships/hyperlink" Target="https://www.tax-fin-lex.si/Dokument/Podrobnosti?rootEntityId=38b2be9d-dedf-4695-baa1-c5c821fd1f32" TargetMode="External"/><Relationship Id="rId58" Type="http://schemas.openxmlformats.org/officeDocument/2006/relationships/hyperlink" Target="https://www.tax-fin-lex.si/Dokument/Podrobnosti?rootEntityId=d9941062-361c-429c-8af3-1724e72b79e3" TargetMode="External"/><Relationship Id="rId74" Type="http://schemas.openxmlformats.org/officeDocument/2006/relationships/hyperlink" Target="https://www.tax-fin-lex.si/Dokument/Podrobnosti?rootEntityId=99b3f09d-e5b1-4a39-8768-62d06f783691" TargetMode="External"/><Relationship Id="rId79" Type="http://schemas.openxmlformats.org/officeDocument/2006/relationships/hyperlink" Target="https://www.tax-fin-lex.si/Dokument/Podrobnosti?rootEntityId=16bf06d3-cc04-4035-a363-c725ccb7e6f8" TargetMode="External"/><Relationship Id="rId5" Type="http://schemas.openxmlformats.org/officeDocument/2006/relationships/image" Target="media/image1.png"/><Relationship Id="rId19" Type="http://schemas.openxmlformats.org/officeDocument/2006/relationships/hyperlink" Target="https://www.tax-fin-lex.si/Dokument/Podrobnosti?rootEntityId=aE_888cd89c-7895-47f9-834a-8845f6432f81" TargetMode="External"/><Relationship Id="rId14" Type="http://schemas.openxmlformats.org/officeDocument/2006/relationships/hyperlink" Target="https://www.tax-fin-lex.si/Dokument/Podrobnosti?rootEntityId=aE_ccb8f910-6a21-4d79-853f-d84b1a679be1" TargetMode="External"/><Relationship Id="rId22" Type="http://schemas.openxmlformats.org/officeDocument/2006/relationships/hyperlink" Target="https://www.tax-fin-lex.si/Dokument/Podrobnosti?rootEntityId=aE_dcfef8f9-650a-4b36-a649-9dbeebcea948" TargetMode="External"/><Relationship Id="rId27" Type="http://schemas.openxmlformats.org/officeDocument/2006/relationships/hyperlink" Target="https://www.tax-fin-lex.si/Dokument/Podrobnosti?rootEntityId=aE_3a9de4de-c57f-4545-8b58-fbe76ef29520" TargetMode="External"/><Relationship Id="rId30" Type="http://schemas.openxmlformats.org/officeDocument/2006/relationships/hyperlink" Target="https://www.tax-fin-lex.si/Dokument/Podrobnosti?rootEntityId=aE_4f25d72a-4587-4001-b936-139cc3c65abb" TargetMode="External"/><Relationship Id="rId35" Type="http://schemas.openxmlformats.org/officeDocument/2006/relationships/hyperlink" Target="https://www.tax-fin-lex.si/Dokument/Podrobnosti?rootEntityId=42021dab-8158-41cb-a23c-ff6eecb310cb" TargetMode="External"/><Relationship Id="rId43" Type="http://schemas.openxmlformats.org/officeDocument/2006/relationships/hyperlink" Target="https://www.tax-fin-lex.si/Dokument/Podrobnosti?rootEntityId=83d8499d-2956-4a75-a1b3-62b7b917d48e" TargetMode="External"/><Relationship Id="rId48" Type="http://schemas.openxmlformats.org/officeDocument/2006/relationships/hyperlink" Target="https://www.tax-fin-lex.si/Dokument/Podrobnosti?rootEntityId=aE_5e34bfe4-31a3-4e99-9778-8af009ecac12" TargetMode="External"/><Relationship Id="rId56" Type="http://schemas.openxmlformats.org/officeDocument/2006/relationships/hyperlink" Target="https://www.tax-fin-lex.si/Dokument/Podrobnosti?rootEntityId=dbf07462-b611-444a-b240-e380b89c37a1" TargetMode="External"/><Relationship Id="rId64" Type="http://schemas.openxmlformats.org/officeDocument/2006/relationships/hyperlink" Target="https://www.tax-fin-lex.si/Dokument/Podrobnosti?rootEntityId=fa457072-a604-41bb-a7b5-e9d1accb5796" TargetMode="External"/><Relationship Id="rId69" Type="http://schemas.openxmlformats.org/officeDocument/2006/relationships/hyperlink" Target="https://www.tax-fin-lex.si/Dokument/Podrobnosti?rootEntityId=d43f9ac9-71a1-43e6-954f-d902979ef7b5" TargetMode="External"/><Relationship Id="rId77" Type="http://schemas.openxmlformats.org/officeDocument/2006/relationships/hyperlink" Target="https://www.tax-fin-lex.si/Dokument/Podrobnosti?rootEntityId=7737af2b-33b4-47a3-a771-456fa057f54a" TargetMode="External"/><Relationship Id="rId8" Type="http://schemas.openxmlformats.org/officeDocument/2006/relationships/hyperlink" Target="https://www.tax-fin-lex.si/Dokument/Podrobnosti?rootEntityId=a8661fd22-ef0b-43a1-96fa-a826d1ba19fb" TargetMode="External"/><Relationship Id="rId51" Type="http://schemas.openxmlformats.org/officeDocument/2006/relationships/hyperlink" Target="https://www.tax-fin-lex.si/Dokument/Podrobnosti?rootEntityId=aE_b2a3eb83-f495-441f-8619-63f4da47d17e" TargetMode="External"/><Relationship Id="rId72" Type="http://schemas.openxmlformats.org/officeDocument/2006/relationships/hyperlink" Target="https://www.tax-fin-lex.si/Dokument/Podrobnosti?rootEntityId=2dc92456-91f9-4575-8ece-ac218300d67f" TargetMode="External"/><Relationship Id="rId80" Type="http://schemas.openxmlformats.org/officeDocument/2006/relationships/hyperlink" Target="https://www.tax-fin-lex.si/Dokument/Podrobnosti?rootEntityId=608128c8-902a-41cc-97a5-fbc39ba09eb7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ww.tax-fin-lex.si/Dokument/Podrobnosti?rootEntityId=aE_f4349928-8b93-449b-9079-ede4e17951de" TargetMode="External"/><Relationship Id="rId17" Type="http://schemas.openxmlformats.org/officeDocument/2006/relationships/hyperlink" Target="https://www.tax-fin-lex.si/Dokument/Podrobnosti?rootEntityId=aE_1c38af31-c5b3-42e6-b0d6-3bbdd3206416" TargetMode="External"/><Relationship Id="rId25" Type="http://schemas.openxmlformats.org/officeDocument/2006/relationships/hyperlink" Target="https://www.tax-fin-lex.si/Dokument/Podrobnosti?rootEntityId=aE_4587e8e1-d791-45f7-b3cf-d152c7704405" TargetMode="External"/><Relationship Id="rId33" Type="http://schemas.openxmlformats.org/officeDocument/2006/relationships/hyperlink" Target="https://www.tax-fin-lex.si/Dokument/Podrobnosti?rootEntityId=aE_3f1d445e-9b24-420a-bc10-b3268bf549e9" TargetMode="External"/><Relationship Id="rId38" Type="http://schemas.openxmlformats.org/officeDocument/2006/relationships/hyperlink" Target="https://www.tax-fin-lex.si/Dokument/Podrobnosti?rootEntityId=02f688e8-a2f1-40c8-978c-ea6de61d093b" TargetMode="External"/><Relationship Id="rId46" Type="http://schemas.openxmlformats.org/officeDocument/2006/relationships/hyperlink" Target="https://www.tax-fin-lex.si/Dokument/Podrobnosti?rootEntityId=aE_dbcb618f-2239-4618-9674-868c0b67c2de" TargetMode="External"/><Relationship Id="rId59" Type="http://schemas.openxmlformats.org/officeDocument/2006/relationships/hyperlink" Target="https://www.tax-fin-lex.si/Dokument/Podrobnosti?rootEntityId=f606c7e3-0d88-4659-a3e3-8d6569deba07" TargetMode="External"/><Relationship Id="rId67" Type="http://schemas.openxmlformats.org/officeDocument/2006/relationships/hyperlink" Target="https://www.tax-fin-lex.si/Dokument/Podrobnosti?rootEntityId=136fef52-51ca-495b-8652-4d20117994f1" TargetMode="External"/><Relationship Id="rId20" Type="http://schemas.openxmlformats.org/officeDocument/2006/relationships/hyperlink" Target="https://www.tax-fin-lex.si/Dokument/Podrobnosti?rootEntityId=aE_2fcf3b3f-2b74-4be1-b832-270d7e9c55bd" TargetMode="External"/><Relationship Id="rId41" Type="http://schemas.openxmlformats.org/officeDocument/2006/relationships/hyperlink" Target="https://www.tax-fin-lex.si/Dokument/Podrobnosti?rootEntityId=652ef879-372c-47c2-bbf9-41003513aafc" TargetMode="External"/><Relationship Id="rId54" Type="http://schemas.openxmlformats.org/officeDocument/2006/relationships/hyperlink" Target="https://www.tax-fin-lex.si/Dokument/Podrobnosti?rootEntityId=1eafd7b0-776f-4c31-81cd-13344a49423e" TargetMode="External"/><Relationship Id="rId62" Type="http://schemas.openxmlformats.org/officeDocument/2006/relationships/hyperlink" Target="https://www.tax-fin-lex.si/Dokument/Podrobnosti?rootEntityId=be32ce8c-7343-4bcf-bfea-0030a56b88af" TargetMode="External"/><Relationship Id="rId70" Type="http://schemas.openxmlformats.org/officeDocument/2006/relationships/hyperlink" Target="https://www.tax-fin-lex.si/Dokument/Podrobnosti?rootEntityId=257ea4a7-e407-4dcd-a0d0-879a3ad5e03a" TargetMode="External"/><Relationship Id="rId75" Type="http://schemas.openxmlformats.org/officeDocument/2006/relationships/hyperlink" Target="https://www.tax-fin-lex.si/Dokument/Podrobnosti?rootEntityId=277ed0b6-c570-4a7c-8838-13732406d359" TargetMode="External"/><Relationship Id="rId83" Type="http://schemas.openxmlformats.org/officeDocument/2006/relationships/hyperlink" Target="https://www.tax-fin-lex.si/Dokument/Podrobnosti?rootEntityId=89c1047e-e4fe-4949-86ee-9bcf73ef29e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ax-fin-lex.si/Dokument/Podrobnosti?rootEntityId=E_e81925b3-75d4-4399-a45b-e6df6635f84b" TargetMode="External"/><Relationship Id="rId15" Type="http://schemas.openxmlformats.org/officeDocument/2006/relationships/hyperlink" Target="https://www.tax-fin-lex.si/Dokument/Podrobnosti?rootEntityId=aE_06845dfb-f5b7-40d4-830c-2f37689e3777" TargetMode="External"/><Relationship Id="rId23" Type="http://schemas.openxmlformats.org/officeDocument/2006/relationships/hyperlink" Target="https://www.tax-fin-lex.si/Dokument/Podrobnosti?rootEntityId=aE_c0746e9b-c982-4d48-b0db-47172e2b38aa" TargetMode="External"/><Relationship Id="rId28" Type="http://schemas.openxmlformats.org/officeDocument/2006/relationships/hyperlink" Target="https://www.tax-fin-lex.si/Dokument/Podrobnosti?rootEntityId=aE_421163c7-0f8f-4b9f-9cf2-3cd34c7c7c12" TargetMode="External"/><Relationship Id="rId36" Type="http://schemas.openxmlformats.org/officeDocument/2006/relationships/hyperlink" Target="https://www.tax-fin-lex.si/Dokument/Podrobnosti?rootEntityId=3da37eaf-e333-461f-94d5-0ad6b9cd6ea3" TargetMode="External"/><Relationship Id="rId49" Type="http://schemas.openxmlformats.org/officeDocument/2006/relationships/hyperlink" Target="https://www.tax-fin-lex.si/Dokument/Podrobnosti?rootEntityId=aE_a3b8a296-7f18-4130-8149-31e4748672e0" TargetMode="External"/><Relationship Id="rId57" Type="http://schemas.openxmlformats.org/officeDocument/2006/relationships/hyperlink" Target="https://www.tax-fin-lex.si/Dokument/Podrobnosti?rootEntityId=c73a5263-bbbc-4de5-939c-b85ea535ef22" TargetMode="External"/><Relationship Id="rId10" Type="http://schemas.openxmlformats.org/officeDocument/2006/relationships/hyperlink" Target="https://www.tax-fin-lex.si/Dokument/Podrobnosti?rootEntityId=aE_4d04a708-73dd-45e5-bf46-73cf488b0538" TargetMode="External"/><Relationship Id="rId31" Type="http://schemas.openxmlformats.org/officeDocument/2006/relationships/hyperlink" Target="https://www.tax-fin-lex.si/Dokument/Podrobnosti?rootEntityId=aE_1572f560-0f2c-44b7-9653-7dd1c301db51" TargetMode="External"/><Relationship Id="rId44" Type="http://schemas.openxmlformats.org/officeDocument/2006/relationships/hyperlink" Target="https://www.tax-fin-lex.si/Dokument/Podrobnosti?rootEntityId=d15d79ef-e86d-456c-bfa9-ef83de6ed546" TargetMode="External"/><Relationship Id="rId52" Type="http://schemas.openxmlformats.org/officeDocument/2006/relationships/hyperlink" Target="https://www.tax-fin-lex.si/Dokument/Podrobnosti?rootEntityId=aE_fdf42a3e-b1fb-4f77-8bb7-90c74295e207" TargetMode="External"/><Relationship Id="rId60" Type="http://schemas.openxmlformats.org/officeDocument/2006/relationships/hyperlink" Target="https://www.tax-fin-lex.si/Dokument/Podrobnosti?rootEntityId=8203d9b1-1418-4f3c-8475-b915c4e22b1e" TargetMode="External"/><Relationship Id="rId65" Type="http://schemas.openxmlformats.org/officeDocument/2006/relationships/hyperlink" Target="https://www.tax-fin-lex.si/Dokument/Podrobnosti?rootEntityId=524cb7fd-81c6-407a-ac1b-6889fc146018" TargetMode="External"/><Relationship Id="rId73" Type="http://schemas.openxmlformats.org/officeDocument/2006/relationships/hyperlink" Target="https://www.tax-fin-lex.si/Dokument/Podrobnosti?rootEntityId=7bc3a54a-4fb1-4f4f-8b14-6a5e002b878c" TargetMode="External"/><Relationship Id="rId78" Type="http://schemas.openxmlformats.org/officeDocument/2006/relationships/hyperlink" Target="https://www.tax-fin-lex.si/Dokument/Podrobnosti?rootEntityId=41d2e3c1-96c4-49e3-a20a-dd771ebc30ef" TargetMode="External"/><Relationship Id="rId81" Type="http://schemas.openxmlformats.org/officeDocument/2006/relationships/hyperlink" Target="https://www.tax-fin-lex.si/Dokument/Podrobnosti?rootEntityId=a69d9f70-293b-4f63-8a96-61bc74a18071" TargetMode="External"/><Relationship Id="rId8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tax-fin-lex.si/Dokument/Podrobnosti?rootEntityId=a3aabf616-8647-458f-a129-ba51d10f6f3c" TargetMode="External"/><Relationship Id="rId13" Type="http://schemas.openxmlformats.org/officeDocument/2006/relationships/hyperlink" Target="https://www.tax-fin-lex.si/Dokument/Podrobnosti?rootEntityId=aE_83847f86-2f3e-4930-ae51-6013ab7b2ec8" TargetMode="External"/><Relationship Id="rId18" Type="http://schemas.openxmlformats.org/officeDocument/2006/relationships/hyperlink" Target="https://www.tax-fin-lex.si/Dokument/Podrobnosti?rootEntityId=aE_a5af3854-55d8-4f25-8f93-93dc6137af59" TargetMode="External"/><Relationship Id="rId39" Type="http://schemas.openxmlformats.org/officeDocument/2006/relationships/hyperlink" Target="https://www.tax-fin-lex.si/Dokument/Podrobnosti?rootEntityId=6cb60324-6f8f-475a-9148-9b98424d49ef" TargetMode="External"/><Relationship Id="rId34" Type="http://schemas.openxmlformats.org/officeDocument/2006/relationships/hyperlink" Target="https://www.tax-fin-lex.si/Dokument/Podrobnosti?rootEntityId=aE_be9016f7-9863-46bf-b834-6f7021c9ca4c" TargetMode="External"/><Relationship Id="rId50" Type="http://schemas.openxmlformats.org/officeDocument/2006/relationships/hyperlink" Target="https://www.tax-fin-lex.si/Dokument/Podrobnosti?rootEntityId=aE_d2d04550-7107-45c0-af89-4ecb8d04f868" TargetMode="External"/><Relationship Id="rId55" Type="http://schemas.openxmlformats.org/officeDocument/2006/relationships/hyperlink" Target="https://www.tax-fin-lex.si/Dokument/Podrobnosti?rootEntityId=023b46d8-c0a7-40a1-92df-e2b20ca54446" TargetMode="External"/><Relationship Id="rId76" Type="http://schemas.openxmlformats.org/officeDocument/2006/relationships/hyperlink" Target="https://www.tax-fin-lex.si/Dokument/Podrobnosti?rootEntityId=83d8499d-2956-4a75-a1b3-62b7b917d48e" TargetMode="External"/><Relationship Id="rId7" Type="http://schemas.openxmlformats.org/officeDocument/2006/relationships/hyperlink" Target="https://www.tax-fin-lex.si/Dokument/Podrobnosti?rootEntityId=a0d469483-8c9e-43e1-896f-8f5ddb330a4e" TargetMode="External"/><Relationship Id="rId71" Type="http://schemas.openxmlformats.org/officeDocument/2006/relationships/hyperlink" Target="https://www.tax-fin-lex.si/Dokument/Podrobnosti?rootEntityId=7183a2b8-ef6d-4f18-ad7f-68fd57005d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tax-fin-lex.si/Dokument/Podrobnosti?rootEntityId=aE_17a5b510-f00a-4d3d-a659-31ee4e158e7a" TargetMode="External"/><Relationship Id="rId24" Type="http://schemas.openxmlformats.org/officeDocument/2006/relationships/hyperlink" Target="https://www.tax-fin-lex.si/Dokument/Podrobnosti?rootEntityId=aE_46cb6584-d357-44bb-9262-0906adec0e5a" TargetMode="External"/><Relationship Id="rId40" Type="http://schemas.openxmlformats.org/officeDocument/2006/relationships/hyperlink" Target="https://www.tax-fin-lex.si/Dokument/Podrobnosti?rootEntityId=685d4e1d-5056-43a5-8f06-9fc428f7ece8" TargetMode="External"/><Relationship Id="rId45" Type="http://schemas.openxmlformats.org/officeDocument/2006/relationships/hyperlink" Target="https://www.tax-fin-lex.si/Dokument/Podrobnosti?rootEntityId=E_d40cccef-0019-45f5-b9fe-b268ae84541f" TargetMode="External"/><Relationship Id="rId66" Type="http://schemas.openxmlformats.org/officeDocument/2006/relationships/hyperlink" Target="https://www.tax-fin-lex.si/Dokument/Podrobnosti?rootEntityId=1b5f0c63-bed6-4d61-b6bd-d458d0604756" TargetMode="External"/><Relationship Id="rId61" Type="http://schemas.openxmlformats.org/officeDocument/2006/relationships/hyperlink" Target="https://www.tax-fin-lex.si/Dokument/Podrobnosti?rootEntityId=a1350ecd-1b5c-4935-ac2b-d1aa4ce558e6" TargetMode="External"/><Relationship Id="rId82" Type="http://schemas.openxmlformats.org/officeDocument/2006/relationships/hyperlink" Target="https://www.tax-fin-lex.si/Dokument/Podrobnosti?rootEntityId=7058f9b0-d1a0-42ab-971a-af8f24741e63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3584</Words>
  <Characters>20434</Characters>
  <Application>Microsoft Office Word</Application>
  <DocSecurity>0</DocSecurity>
  <Lines>170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12</cp:revision>
  <cp:lastPrinted>2022-09-28T14:26:00Z</cp:lastPrinted>
  <dcterms:created xsi:type="dcterms:W3CDTF">2022-12-15T10:26:00Z</dcterms:created>
  <dcterms:modified xsi:type="dcterms:W3CDTF">2024-12-09T09:03:00Z</dcterms:modified>
</cp:coreProperties>
</file>