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5DD233" w14:textId="74AE091C" w:rsidR="00FB14DF" w:rsidRDefault="007954D4" w:rsidP="00FB14DF">
      <w:pPr>
        <w:rPr>
          <w:rFonts w:ascii="Times New Roman" w:hAnsi="Times New Roman"/>
        </w:rPr>
      </w:pPr>
      <w:r>
        <w:rPr>
          <w:noProof/>
          <w:lang w:eastAsia="sl-SI"/>
        </w:rPr>
        <w:drawing>
          <wp:anchor distT="0" distB="0" distL="114300" distR="114300" simplePos="0" relativeHeight="251659264" behindDoc="0" locked="0" layoutInCell="1" allowOverlap="1" wp14:anchorId="5203452A" wp14:editId="23C29C99">
            <wp:simplePos x="0" y="0"/>
            <wp:positionH relativeFrom="margin">
              <wp:align>left</wp:align>
            </wp:positionH>
            <wp:positionV relativeFrom="page">
              <wp:posOffset>619934</wp:posOffset>
            </wp:positionV>
            <wp:extent cx="245745" cy="306705"/>
            <wp:effectExtent l="0" t="0" r="1905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306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4DF">
        <w:rPr>
          <w:rFonts w:cs="Arial"/>
          <w:b/>
          <w:caps/>
        </w:rPr>
        <w:t>Občina Ribnica na Pohorju</w:t>
      </w:r>
    </w:p>
    <w:p w14:paraId="5F705D9A" w14:textId="20780D8D" w:rsidR="00FB14DF" w:rsidRDefault="00FB14DF" w:rsidP="007954D4">
      <w:pPr>
        <w:rPr>
          <w:sz w:val="24"/>
          <w:szCs w:val="24"/>
        </w:rPr>
      </w:pPr>
      <w:r>
        <w:rPr>
          <w:rFonts w:cs="Arial"/>
          <w:sz w:val="16"/>
        </w:rPr>
        <w:t>Ribnica na Pohorju 1, 23</w:t>
      </w:r>
      <w:r>
        <w:rPr>
          <w:rFonts w:cs="Arial"/>
          <w:caps/>
          <w:sz w:val="16"/>
        </w:rPr>
        <w:t>64 R</w:t>
      </w:r>
      <w:r>
        <w:rPr>
          <w:rFonts w:cs="Arial"/>
          <w:sz w:val="16"/>
        </w:rPr>
        <w:t>ibnica na Pohorju</w:t>
      </w:r>
      <w:r>
        <w:rPr>
          <w:rFonts w:cs="Arial"/>
          <w:caps/>
        </w:rPr>
        <w:tab/>
      </w:r>
      <w:r>
        <w:rPr>
          <w:rFonts w:cs="Arial"/>
          <w:caps/>
        </w:rPr>
        <w:tab/>
      </w:r>
      <w:r>
        <w:rPr>
          <w:rFonts w:cs="Arial"/>
          <w:caps/>
        </w:rPr>
        <w:tab/>
      </w:r>
      <w:r>
        <w:rPr>
          <w:rFonts w:cs="Arial"/>
          <w:caps/>
        </w:rPr>
        <w:tab/>
      </w:r>
    </w:p>
    <w:p w14:paraId="74C3BEA6" w14:textId="247341BF" w:rsidR="00FB14DF" w:rsidRDefault="00FB14DF" w:rsidP="00FB14DF">
      <w:pPr>
        <w:tabs>
          <w:tab w:val="left" w:pos="1650"/>
        </w:tabs>
        <w:autoSpaceDE w:val="0"/>
        <w:rPr>
          <w:rFonts w:cs="Arial"/>
          <w:color w:val="000000"/>
        </w:rPr>
      </w:pPr>
    </w:p>
    <w:p w14:paraId="1475E11D" w14:textId="77777777" w:rsidR="00FB14DF" w:rsidRDefault="00FB14DF" w:rsidP="00FB14DF">
      <w:pPr>
        <w:pStyle w:val="Telobesedila2"/>
        <w:jc w:val="both"/>
        <w:rPr>
          <w:b/>
          <w:sz w:val="20"/>
        </w:rPr>
      </w:pPr>
      <w:r>
        <w:rPr>
          <w:b/>
          <w:sz w:val="20"/>
        </w:rPr>
        <w:t>OBČINSKI SVET</w:t>
      </w:r>
    </w:p>
    <w:p w14:paraId="0949E44A" w14:textId="77777777" w:rsidR="00FB14DF" w:rsidRDefault="00FB14DF" w:rsidP="00FB14DF">
      <w:pPr>
        <w:pStyle w:val="Telobesedila2"/>
        <w:jc w:val="both"/>
        <w:rPr>
          <w:b/>
          <w:sz w:val="20"/>
        </w:rPr>
      </w:pPr>
      <w:r>
        <w:rPr>
          <w:b/>
          <w:sz w:val="20"/>
        </w:rPr>
        <w:t>OBČINE RIBNICA NA POHORJU</w:t>
      </w:r>
    </w:p>
    <w:p w14:paraId="72C79AAF" w14:textId="77777777" w:rsidR="00FB14DF" w:rsidRDefault="00FB14DF" w:rsidP="00FB14DF">
      <w:pPr>
        <w:tabs>
          <w:tab w:val="left" w:pos="1650"/>
        </w:tabs>
        <w:autoSpaceDE w:val="0"/>
        <w:rPr>
          <w:rFonts w:cs="Arial"/>
          <w:b/>
          <w:color w:val="000000"/>
          <w:sz w:val="24"/>
        </w:rPr>
      </w:pPr>
    </w:p>
    <w:p w14:paraId="6E86276E" w14:textId="77777777" w:rsidR="00FB14DF" w:rsidRDefault="00FB14DF" w:rsidP="00FB14DF">
      <w:pPr>
        <w:tabs>
          <w:tab w:val="left" w:pos="1650"/>
        </w:tabs>
        <w:autoSpaceDE w:val="0"/>
        <w:rPr>
          <w:rFonts w:cs="Arial"/>
          <w:color w:val="000000"/>
          <w:sz w:val="20"/>
        </w:rPr>
      </w:pPr>
    </w:p>
    <w:p w14:paraId="3C06B968" w14:textId="6B0C2E80" w:rsidR="00FB14DF" w:rsidRDefault="00FB14DF" w:rsidP="00FB14DF">
      <w:pPr>
        <w:tabs>
          <w:tab w:val="left" w:pos="1650"/>
        </w:tabs>
        <w:autoSpaceDE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Datum: </w:t>
      </w:r>
      <w:r>
        <w:rPr>
          <w:rFonts w:cs="Arial"/>
          <w:color w:val="000000"/>
          <w:sz w:val="20"/>
        </w:rPr>
        <w:tab/>
        <w:t>1</w:t>
      </w:r>
      <w:r w:rsidR="007954D4">
        <w:rPr>
          <w:rFonts w:cs="Arial"/>
          <w:color w:val="000000"/>
          <w:sz w:val="20"/>
        </w:rPr>
        <w:t>0</w:t>
      </w:r>
      <w:r>
        <w:rPr>
          <w:rFonts w:cs="Arial"/>
          <w:color w:val="000000"/>
          <w:sz w:val="20"/>
        </w:rPr>
        <w:t>. 12. 2024</w:t>
      </w:r>
    </w:p>
    <w:p w14:paraId="6903AC7C" w14:textId="77777777" w:rsidR="00FB14DF" w:rsidRDefault="00FB14DF" w:rsidP="00FB14DF">
      <w:pPr>
        <w:tabs>
          <w:tab w:val="left" w:pos="1650"/>
        </w:tabs>
        <w:autoSpaceDE w:val="0"/>
        <w:rPr>
          <w:rFonts w:ascii="Times New Roman" w:hAnsi="Times New Roman" w:cs="Arial"/>
          <w:b/>
          <w:bCs/>
          <w:color w:val="000000"/>
          <w:sz w:val="24"/>
          <w:szCs w:val="24"/>
          <w:highlight w:val="yellow"/>
        </w:rPr>
      </w:pPr>
    </w:p>
    <w:p w14:paraId="4CFD0BDB" w14:textId="77777777" w:rsidR="00FB14DF" w:rsidRDefault="00FB14DF" w:rsidP="00FB14DF">
      <w:pPr>
        <w:tabs>
          <w:tab w:val="left" w:pos="1650"/>
        </w:tabs>
        <w:autoSpaceDE w:val="0"/>
        <w:rPr>
          <w:rFonts w:cs="Arial"/>
          <w:b/>
          <w:bCs/>
          <w:color w:val="000000"/>
        </w:rPr>
      </w:pPr>
    </w:p>
    <w:p w14:paraId="22BC9F3C" w14:textId="77777777" w:rsidR="00FB14DF" w:rsidRDefault="00FB14DF" w:rsidP="00FB14DF">
      <w:pPr>
        <w:tabs>
          <w:tab w:val="left" w:pos="1650"/>
        </w:tabs>
        <w:autoSpaceDE w:val="0"/>
        <w:rPr>
          <w:rFonts w:cs="Arial"/>
          <w:b/>
          <w:bCs/>
          <w:color w:val="000000"/>
        </w:rPr>
      </w:pPr>
    </w:p>
    <w:p w14:paraId="39358FFF" w14:textId="601D9800" w:rsidR="00FB14DF" w:rsidRDefault="00FB14DF" w:rsidP="00FB14DF">
      <w:pPr>
        <w:ind w:left="1701" w:hanging="1701"/>
        <w:rPr>
          <w:rFonts w:cs="Arial"/>
          <w:b/>
          <w:sz w:val="20"/>
        </w:rPr>
      </w:pPr>
      <w:r>
        <w:rPr>
          <w:rFonts w:cs="Arial"/>
          <w:b/>
          <w:bCs/>
          <w:color w:val="000000"/>
          <w:sz w:val="20"/>
        </w:rPr>
        <w:t xml:space="preserve">Zadeva:                 Obravnava predloga Letnega programa športa za </w:t>
      </w:r>
      <w:r>
        <w:rPr>
          <w:rFonts w:cs="Arial"/>
          <w:b/>
          <w:sz w:val="20"/>
        </w:rPr>
        <w:t>leto 2025</w:t>
      </w:r>
    </w:p>
    <w:p w14:paraId="56E20340" w14:textId="77777777" w:rsidR="00FB14DF" w:rsidRDefault="00FB14DF" w:rsidP="00FB14DF">
      <w:pPr>
        <w:tabs>
          <w:tab w:val="left" w:pos="1650"/>
        </w:tabs>
        <w:autoSpaceDE w:val="0"/>
        <w:autoSpaceDN w:val="0"/>
        <w:adjustRightInd w:val="0"/>
        <w:ind w:left="-22"/>
        <w:rPr>
          <w:rFonts w:cs="Arial"/>
          <w:bCs/>
          <w:color w:val="000000"/>
          <w:sz w:val="20"/>
          <w:highlight w:val="yellow"/>
        </w:rPr>
      </w:pPr>
    </w:p>
    <w:p w14:paraId="37A39162" w14:textId="77777777" w:rsidR="00FB14DF" w:rsidRDefault="00FB14DF" w:rsidP="00FB14DF">
      <w:pPr>
        <w:tabs>
          <w:tab w:val="left" w:pos="1650"/>
        </w:tabs>
        <w:autoSpaceDE w:val="0"/>
        <w:autoSpaceDN w:val="0"/>
        <w:adjustRightInd w:val="0"/>
        <w:ind w:left="-22"/>
        <w:rPr>
          <w:rFonts w:cs="Arial"/>
          <w:bCs/>
          <w:color w:val="000000"/>
          <w:sz w:val="20"/>
          <w:highlight w:val="yellow"/>
        </w:rPr>
      </w:pPr>
    </w:p>
    <w:p w14:paraId="190D1BFE" w14:textId="10E0E701" w:rsidR="00FB14DF" w:rsidRDefault="00FB14DF" w:rsidP="00FB14DF">
      <w:pPr>
        <w:autoSpaceDE w:val="0"/>
        <w:autoSpaceDN w:val="0"/>
        <w:adjustRightInd w:val="0"/>
        <w:ind w:left="-22"/>
        <w:jc w:val="both"/>
        <w:rPr>
          <w:rFonts w:cs="Arial"/>
          <w:sz w:val="20"/>
        </w:rPr>
      </w:pPr>
      <w:r>
        <w:rPr>
          <w:rFonts w:cs="Arial"/>
          <w:sz w:val="20"/>
        </w:rPr>
        <w:t xml:space="preserve">Občinska uprava je v sodelovanju z zunanjim izvajalcem na podlagi določil 5. člena Odloka o sofinanciranju letnega programa športa v Občini </w:t>
      </w:r>
      <w:r>
        <w:rPr>
          <w:rFonts w:cs="Arial"/>
          <w:bCs/>
          <w:sz w:val="20"/>
        </w:rPr>
        <w:t>Ribnica na Pohorju (Uradno glasilo e-občina, št. 30/20</w:t>
      </w:r>
      <w:r>
        <w:rPr>
          <w:rFonts w:cs="Arial"/>
          <w:sz w:val="20"/>
        </w:rPr>
        <w:t xml:space="preserve">) pripravila osnutek Letnega programa športa za leto 2025. Predlog o razdelitvi sredstev potrdi Občinski svet. </w:t>
      </w:r>
    </w:p>
    <w:p w14:paraId="26F7AC60" w14:textId="667D3FB5" w:rsidR="00FB14DF" w:rsidRDefault="00FB14DF" w:rsidP="00FB14DF">
      <w:pPr>
        <w:pStyle w:val="Standard"/>
        <w:spacing w:after="0" w:line="240" w:lineRule="auto"/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20"/>
          <w:szCs w:val="20"/>
        </w:rPr>
        <w:t>V prilogi  prilagamo osnutek Letnega programa športa za leto 2025.</w:t>
      </w:r>
    </w:p>
    <w:p w14:paraId="069CB532" w14:textId="77777777" w:rsidR="00FB14DF" w:rsidRDefault="00FB14DF" w:rsidP="00FB14DF">
      <w:pPr>
        <w:tabs>
          <w:tab w:val="left" w:pos="3410"/>
        </w:tabs>
        <w:autoSpaceDE w:val="0"/>
        <w:ind w:left="4248"/>
        <w:rPr>
          <w:rFonts w:cs="Arial"/>
          <w:color w:val="000000"/>
          <w:sz w:val="20"/>
          <w:szCs w:val="24"/>
        </w:rPr>
      </w:pPr>
      <w:r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</w:r>
    </w:p>
    <w:p w14:paraId="44DFFC3B" w14:textId="77777777" w:rsidR="00FB14DF" w:rsidRDefault="00FB14DF" w:rsidP="00FB14DF">
      <w:pPr>
        <w:tabs>
          <w:tab w:val="left" w:pos="3410"/>
        </w:tabs>
        <w:autoSpaceDE w:val="0"/>
        <w:ind w:left="4248"/>
        <w:rPr>
          <w:rFonts w:cs="Arial"/>
          <w:color w:val="000000"/>
          <w:sz w:val="20"/>
        </w:rPr>
      </w:pPr>
    </w:p>
    <w:p w14:paraId="5FDC3EB2" w14:textId="77777777" w:rsidR="00FB14DF" w:rsidRDefault="00FB14DF" w:rsidP="00FB14DF">
      <w:pPr>
        <w:autoSpaceDE w:val="0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 xml:space="preserve">                                                                                                                          Srečko Geč</w:t>
      </w:r>
    </w:p>
    <w:p w14:paraId="1F5E15A6" w14:textId="77777777" w:rsidR="00FB14DF" w:rsidRDefault="00FB14DF" w:rsidP="00FB14DF">
      <w:pPr>
        <w:tabs>
          <w:tab w:val="left" w:pos="3410"/>
        </w:tabs>
        <w:autoSpaceDE w:val="0"/>
        <w:ind w:left="4248"/>
        <w:rPr>
          <w:rFonts w:cs="Arial"/>
          <w:color w:val="000000"/>
          <w:sz w:val="20"/>
        </w:rPr>
      </w:pPr>
      <w:r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</w:r>
      <w:r>
        <w:rPr>
          <w:rFonts w:cs="Arial"/>
          <w:color w:val="000000"/>
          <w:sz w:val="20"/>
        </w:rPr>
        <w:tab/>
        <w:t>župan</w:t>
      </w:r>
    </w:p>
    <w:p w14:paraId="777132C1" w14:textId="77777777" w:rsidR="00FB14DF" w:rsidRDefault="00FB14DF" w:rsidP="00FB14DF">
      <w:pPr>
        <w:tabs>
          <w:tab w:val="left" w:pos="5930"/>
        </w:tabs>
        <w:autoSpaceDE w:val="0"/>
        <w:ind w:left="5670"/>
        <w:rPr>
          <w:rFonts w:ascii="Times New Roman" w:hAnsi="Times New Roman" w:cs="Arial"/>
          <w:color w:val="000000"/>
          <w:sz w:val="24"/>
        </w:rPr>
      </w:pPr>
    </w:p>
    <w:p w14:paraId="4CB511D2" w14:textId="77777777" w:rsidR="00FB14DF" w:rsidRDefault="00FB14DF" w:rsidP="00FB14DF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797AEE" w14:textId="77777777" w:rsidR="00FB14DF" w:rsidRDefault="00FB14DF" w:rsidP="00FB14DF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6DEDE8" w14:textId="77777777" w:rsidR="00FB14DF" w:rsidRDefault="00FB14DF" w:rsidP="00FB14DF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4C90E9" w14:textId="77777777" w:rsidR="00FB14DF" w:rsidRDefault="00FB14DF" w:rsidP="00FB14DF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C5FF3E4" w14:textId="77777777" w:rsidR="00FB14DF" w:rsidRDefault="00FB14DF" w:rsidP="00FB14DF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81C42FA" w14:textId="77777777" w:rsidR="00FB14DF" w:rsidRDefault="00FB14DF" w:rsidP="00FB14DF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423FCB" w14:textId="77777777" w:rsidR="00FB14DF" w:rsidRDefault="00FB14DF" w:rsidP="00FB14DF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9639D2" w14:textId="77777777" w:rsidR="00FB14DF" w:rsidRDefault="00FB14DF" w:rsidP="00FB14DF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D34F66C" w14:textId="77777777" w:rsidR="00FB14DF" w:rsidRDefault="00FB14DF" w:rsidP="00FB14DF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Priloge:</w:t>
      </w:r>
    </w:p>
    <w:p w14:paraId="13DE4B81" w14:textId="5A52CF8D" w:rsidR="00FB14DF" w:rsidRDefault="00FB14DF" w:rsidP="00FB14DF">
      <w:pPr>
        <w:pStyle w:val="Standard"/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Osnutek Letnega programa športa za leto 2025.</w:t>
      </w:r>
    </w:p>
    <w:p w14:paraId="3C9877C1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74F626C1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80A3114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9510F61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AE317AE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5EC39FE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BA3D232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881652D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3944CF9C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E00FDC8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B6ACDDE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88DD0CD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F413D8A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684D0AE2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AC9C3D2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5CD4A4A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E135C86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86A50E2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FEB1C1B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A4F562F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583891A1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4D60D052" w14:textId="77777777" w:rsidR="007954D4" w:rsidRDefault="007954D4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624C251" w14:textId="77777777" w:rsidR="007954D4" w:rsidRDefault="007954D4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B3F5FD1" w14:textId="77777777" w:rsidR="007954D4" w:rsidRDefault="007954D4" w:rsidP="001C5929">
      <w:pPr>
        <w:jc w:val="both"/>
        <w:rPr>
          <w:rFonts w:asciiTheme="minorHAnsi" w:hAnsiTheme="minorHAnsi" w:cstheme="minorHAnsi"/>
          <w:sz w:val="21"/>
          <w:szCs w:val="21"/>
        </w:rPr>
      </w:pPr>
      <w:bookmarkStart w:id="0" w:name="_GoBack"/>
      <w:bookmarkEnd w:id="0"/>
    </w:p>
    <w:p w14:paraId="2D59F953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00D7C8CC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18FE6462" w14:textId="77777777" w:rsidR="00FB14DF" w:rsidRDefault="00FB14DF" w:rsidP="001C5929">
      <w:pPr>
        <w:jc w:val="both"/>
        <w:rPr>
          <w:rFonts w:asciiTheme="minorHAnsi" w:hAnsiTheme="minorHAnsi" w:cstheme="minorHAnsi"/>
          <w:sz w:val="21"/>
          <w:szCs w:val="21"/>
        </w:rPr>
      </w:pPr>
    </w:p>
    <w:p w14:paraId="2F499D1C" w14:textId="4036FFC1" w:rsidR="00F146A8" w:rsidRPr="00FB14DF" w:rsidRDefault="00F146A8" w:rsidP="001C5929">
      <w:pPr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lastRenderedPageBreak/>
        <w:t>Na podlagi 13. člena Zakona o športu (</w:t>
      </w:r>
      <w:r w:rsidR="002C5C88" w:rsidRPr="007B5FCA">
        <w:rPr>
          <w:rFonts w:asciiTheme="minorHAnsi" w:hAnsiTheme="minorHAnsi" w:cstheme="minorHAnsi"/>
          <w:sz w:val="21"/>
          <w:szCs w:val="21"/>
        </w:rPr>
        <w:t>Uradni list RS, št. 29/17,</w:t>
      </w:r>
      <w:r w:rsidR="004D0DC3" w:rsidRPr="007B5FCA">
        <w:rPr>
          <w:rFonts w:asciiTheme="minorHAnsi" w:hAnsiTheme="minorHAnsi" w:cstheme="minorHAnsi"/>
          <w:sz w:val="21"/>
          <w:szCs w:val="21"/>
        </w:rPr>
        <w:t xml:space="preserve"> 21/18 – </w:t>
      </w:r>
      <w:proofErr w:type="spellStart"/>
      <w:r w:rsidR="004D0DC3" w:rsidRPr="007B5FCA">
        <w:rPr>
          <w:rFonts w:asciiTheme="minorHAnsi" w:hAnsiTheme="minorHAnsi" w:cstheme="minorHAnsi"/>
          <w:sz w:val="21"/>
          <w:szCs w:val="21"/>
        </w:rPr>
        <w:t>ZNOrg</w:t>
      </w:r>
      <w:proofErr w:type="spellEnd"/>
      <w:r w:rsidR="00E53572">
        <w:rPr>
          <w:rFonts w:asciiTheme="minorHAnsi" w:hAnsiTheme="minorHAnsi" w:cstheme="minorHAnsi"/>
          <w:sz w:val="21"/>
          <w:szCs w:val="21"/>
        </w:rPr>
        <w:t>,</w:t>
      </w:r>
      <w:r w:rsidR="002C5C88" w:rsidRPr="007B5FCA">
        <w:rPr>
          <w:rFonts w:asciiTheme="minorHAnsi" w:hAnsiTheme="minorHAnsi" w:cstheme="minorHAnsi"/>
          <w:sz w:val="21"/>
          <w:szCs w:val="21"/>
        </w:rPr>
        <w:t xml:space="preserve"> 82/20</w:t>
      </w:r>
      <w:r w:rsidR="00B534EC">
        <w:rPr>
          <w:rFonts w:asciiTheme="minorHAnsi" w:hAnsiTheme="minorHAnsi" w:cstheme="minorHAnsi"/>
          <w:sz w:val="21"/>
          <w:szCs w:val="21"/>
        </w:rPr>
        <w:t xml:space="preserve">, </w:t>
      </w:r>
      <w:r w:rsidR="00E53572">
        <w:rPr>
          <w:rFonts w:asciiTheme="minorHAnsi" w:hAnsiTheme="minorHAnsi" w:cstheme="minorHAnsi"/>
          <w:sz w:val="21"/>
          <w:szCs w:val="21"/>
        </w:rPr>
        <w:t xml:space="preserve">3/22 </w:t>
      </w:r>
      <w:r w:rsidR="00B534EC">
        <w:rPr>
          <w:rFonts w:asciiTheme="minorHAnsi" w:hAnsiTheme="minorHAnsi" w:cstheme="minorHAnsi"/>
          <w:sz w:val="21"/>
          <w:szCs w:val="21"/>
        </w:rPr>
        <w:t>–</w:t>
      </w:r>
      <w:r w:rsidR="00E53572">
        <w:rPr>
          <w:rFonts w:asciiTheme="minorHAnsi" w:hAnsiTheme="minorHAnsi" w:cstheme="minorHAnsi"/>
          <w:sz w:val="21"/>
          <w:szCs w:val="21"/>
        </w:rPr>
        <w:t xml:space="preserve"> </w:t>
      </w:r>
      <w:proofErr w:type="spellStart"/>
      <w:r w:rsidR="00E53572">
        <w:rPr>
          <w:rFonts w:asciiTheme="minorHAnsi" w:hAnsiTheme="minorHAnsi" w:cstheme="minorHAnsi"/>
          <w:sz w:val="21"/>
          <w:szCs w:val="21"/>
        </w:rPr>
        <w:t>Z</w:t>
      </w:r>
      <w:r w:rsidR="00B534EC">
        <w:rPr>
          <w:rFonts w:asciiTheme="minorHAnsi" w:hAnsiTheme="minorHAnsi" w:cstheme="minorHAnsi"/>
          <w:sz w:val="21"/>
          <w:szCs w:val="21"/>
        </w:rPr>
        <w:t>D</w:t>
      </w:r>
      <w:r w:rsidR="00E53572">
        <w:rPr>
          <w:rFonts w:asciiTheme="minorHAnsi" w:hAnsiTheme="minorHAnsi" w:cstheme="minorHAnsi"/>
          <w:sz w:val="21"/>
          <w:szCs w:val="21"/>
        </w:rPr>
        <w:t>eb</w:t>
      </w:r>
      <w:proofErr w:type="spellEnd"/>
      <w:r w:rsidR="00B534EC">
        <w:rPr>
          <w:rFonts w:asciiTheme="minorHAnsi" w:hAnsiTheme="minorHAnsi" w:cstheme="minorHAnsi"/>
          <w:sz w:val="21"/>
          <w:szCs w:val="21"/>
        </w:rPr>
        <w:t xml:space="preserve"> in 37/24 – ZMat-B</w:t>
      </w:r>
      <w:r w:rsidRPr="007B5FCA">
        <w:rPr>
          <w:rFonts w:asciiTheme="minorHAnsi" w:hAnsiTheme="minorHAnsi" w:cstheme="minorHAnsi"/>
          <w:sz w:val="21"/>
          <w:szCs w:val="21"/>
        </w:rPr>
        <w:t xml:space="preserve">), </w:t>
      </w:r>
      <w:r w:rsidR="00A64584" w:rsidRPr="007B5FCA">
        <w:rPr>
          <w:rFonts w:asciiTheme="minorHAnsi" w:hAnsiTheme="minorHAnsi" w:cstheme="minorHAnsi"/>
          <w:sz w:val="21"/>
          <w:szCs w:val="21"/>
        </w:rPr>
        <w:t>5</w:t>
      </w:r>
      <w:r w:rsidRPr="007B5FCA">
        <w:rPr>
          <w:rFonts w:asciiTheme="minorHAnsi" w:hAnsiTheme="minorHAnsi" w:cstheme="minorHAnsi"/>
          <w:sz w:val="21"/>
          <w:szCs w:val="21"/>
        </w:rPr>
        <w:t>. člena Odloka o sofinanciranj</w:t>
      </w:r>
      <w:r w:rsidR="00A64584" w:rsidRPr="007B5FCA">
        <w:rPr>
          <w:rFonts w:asciiTheme="minorHAnsi" w:hAnsiTheme="minorHAnsi" w:cstheme="minorHAnsi"/>
          <w:sz w:val="21"/>
          <w:szCs w:val="21"/>
        </w:rPr>
        <w:t>u</w:t>
      </w:r>
      <w:r w:rsidRPr="007B5FCA">
        <w:rPr>
          <w:rFonts w:asciiTheme="minorHAnsi" w:hAnsiTheme="minorHAnsi" w:cstheme="minorHAnsi"/>
          <w:sz w:val="21"/>
          <w:szCs w:val="21"/>
        </w:rPr>
        <w:t xml:space="preserve"> letnega programa športa v </w:t>
      </w:r>
      <w:r w:rsidR="008D7107" w:rsidRPr="007B5FCA">
        <w:rPr>
          <w:rFonts w:asciiTheme="minorHAnsi" w:hAnsiTheme="minorHAnsi" w:cstheme="minorHAnsi"/>
          <w:sz w:val="21"/>
          <w:szCs w:val="21"/>
        </w:rPr>
        <w:t>O</w:t>
      </w:r>
      <w:r w:rsidRPr="007B5FCA">
        <w:rPr>
          <w:rFonts w:asciiTheme="minorHAnsi" w:hAnsiTheme="minorHAnsi" w:cstheme="minorHAnsi"/>
          <w:sz w:val="21"/>
          <w:szCs w:val="21"/>
        </w:rPr>
        <w:t xml:space="preserve">bčini </w:t>
      </w:r>
      <w:r w:rsidR="00704AAA" w:rsidRPr="007B5FCA">
        <w:rPr>
          <w:rFonts w:asciiTheme="minorHAnsi" w:hAnsiTheme="minorHAnsi" w:cstheme="minorHAnsi"/>
          <w:bCs/>
          <w:sz w:val="21"/>
          <w:szCs w:val="21"/>
        </w:rPr>
        <w:t>Ribnica na Pohorju</w:t>
      </w:r>
      <w:r w:rsidRPr="007B5FCA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13694A" w:rsidRPr="007B5FCA">
        <w:rPr>
          <w:rFonts w:asciiTheme="minorHAnsi" w:hAnsiTheme="minorHAnsi" w:cstheme="minorHAnsi"/>
          <w:bCs/>
          <w:sz w:val="21"/>
          <w:szCs w:val="21"/>
        </w:rPr>
        <w:t>(</w:t>
      </w:r>
      <w:bookmarkStart w:id="1" w:name="_Hlk97113512"/>
      <w:r w:rsidR="00704AAA" w:rsidRPr="007B5FCA">
        <w:rPr>
          <w:rFonts w:asciiTheme="minorHAnsi" w:hAnsiTheme="minorHAnsi" w:cstheme="minorHAnsi"/>
          <w:bCs/>
          <w:sz w:val="21"/>
          <w:szCs w:val="21"/>
        </w:rPr>
        <w:t>Uradno glasilo e-občina, št. 30/20</w:t>
      </w:r>
      <w:bookmarkEnd w:id="1"/>
      <w:r w:rsidRPr="007B5FCA">
        <w:rPr>
          <w:rFonts w:asciiTheme="minorHAnsi" w:hAnsiTheme="minorHAnsi" w:cstheme="minorHAnsi"/>
          <w:sz w:val="21"/>
          <w:szCs w:val="21"/>
        </w:rPr>
        <w:t xml:space="preserve">) in </w:t>
      </w:r>
      <w:r w:rsidR="00704AAA" w:rsidRPr="007B5FCA">
        <w:rPr>
          <w:rFonts w:asciiTheme="minorHAnsi" w:hAnsiTheme="minorHAnsi" w:cstheme="minorHAnsi"/>
          <w:sz w:val="21"/>
          <w:szCs w:val="21"/>
        </w:rPr>
        <w:t xml:space="preserve">15. člena Statuta Občine Ribnica na Pohorju (MUV, št. 25/15, 26/17 in 5/19) </w:t>
      </w:r>
      <w:r w:rsidRPr="007B5FCA">
        <w:rPr>
          <w:rFonts w:asciiTheme="minorHAnsi" w:hAnsiTheme="minorHAnsi" w:cstheme="minorHAnsi"/>
          <w:sz w:val="21"/>
          <w:szCs w:val="21"/>
        </w:rPr>
        <w:t xml:space="preserve">je Občinski svet Občine </w:t>
      </w:r>
      <w:r w:rsidR="00704AAA" w:rsidRPr="007B5FCA">
        <w:rPr>
          <w:rFonts w:asciiTheme="minorHAnsi" w:hAnsiTheme="minorHAnsi" w:cstheme="minorHAnsi"/>
          <w:bCs/>
          <w:sz w:val="21"/>
          <w:szCs w:val="21"/>
        </w:rPr>
        <w:t xml:space="preserve">Ribnica na Pohorju </w:t>
      </w:r>
      <w:r w:rsidRPr="007B5FCA">
        <w:rPr>
          <w:rFonts w:asciiTheme="minorHAnsi" w:hAnsiTheme="minorHAnsi" w:cstheme="minorHAnsi"/>
          <w:sz w:val="21"/>
          <w:szCs w:val="21"/>
        </w:rPr>
        <w:t xml:space="preserve">na </w:t>
      </w:r>
      <w:r w:rsidRPr="00FB14DF">
        <w:rPr>
          <w:rFonts w:asciiTheme="minorHAnsi" w:hAnsiTheme="minorHAnsi" w:cstheme="minorHAnsi"/>
          <w:sz w:val="21"/>
          <w:szCs w:val="21"/>
        </w:rPr>
        <w:t>svoji</w:t>
      </w:r>
      <w:r w:rsidR="00B90A35" w:rsidRPr="00FB14DF">
        <w:rPr>
          <w:rFonts w:asciiTheme="minorHAnsi" w:hAnsiTheme="minorHAnsi" w:cstheme="minorHAnsi"/>
          <w:sz w:val="21"/>
          <w:szCs w:val="21"/>
        </w:rPr>
        <w:t xml:space="preserve"> </w:t>
      </w:r>
      <w:r w:rsidR="00B534EC" w:rsidRPr="00FB14DF">
        <w:rPr>
          <w:rFonts w:asciiTheme="minorHAnsi" w:hAnsiTheme="minorHAnsi" w:cstheme="minorHAnsi"/>
          <w:sz w:val="21"/>
          <w:szCs w:val="21"/>
        </w:rPr>
        <w:t>___</w:t>
      </w:r>
      <w:r w:rsidR="002C5C88" w:rsidRPr="00FB14DF">
        <w:rPr>
          <w:rFonts w:asciiTheme="minorHAnsi" w:hAnsiTheme="minorHAnsi" w:cstheme="minorHAnsi"/>
          <w:sz w:val="21"/>
          <w:szCs w:val="21"/>
        </w:rPr>
        <w:t xml:space="preserve"> </w:t>
      </w:r>
      <w:r w:rsidR="00704AAA" w:rsidRPr="00FB14DF">
        <w:rPr>
          <w:rFonts w:asciiTheme="minorHAnsi" w:hAnsiTheme="minorHAnsi" w:cstheme="minorHAnsi"/>
          <w:sz w:val="21"/>
          <w:szCs w:val="21"/>
        </w:rPr>
        <w:t>redni seji</w:t>
      </w:r>
      <w:r w:rsidRPr="00FB14DF">
        <w:rPr>
          <w:rFonts w:asciiTheme="minorHAnsi" w:hAnsiTheme="minorHAnsi" w:cstheme="minorHAnsi"/>
          <w:sz w:val="21"/>
          <w:szCs w:val="21"/>
        </w:rPr>
        <w:t>, dne</w:t>
      </w:r>
      <w:r w:rsidR="00B90A35" w:rsidRPr="00FB14DF">
        <w:rPr>
          <w:rFonts w:asciiTheme="minorHAnsi" w:hAnsiTheme="minorHAnsi" w:cstheme="minorHAnsi"/>
          <w:sz w:val="21"/>
          <w:szCs w:val="21"/>
        </w:rPr>
        <w:t xml:space="preserve">, </w:t>
      </w:r>
      <w:r w:rsidR="00B534EC" w:rsidRPr="00FB14DF">
        <w:rPr>
          <w:rFonts w:asciiTheme="minorHAnsi" w:hAnsiTheme="minorHAnsi" w:cstheme="minorHAnsi"/>
          <w:sz w:val="21"/>
          <w:szCs w:val="21"/>
        </w:rPr>
        <w:t>_______</w:t>
      </w:r>
      <w:r w:rsidR="001C5929" w:rsidRPr="00FB14DF">
        <w:rPr>
          <w:rFonts w:asciiTheme="minorHAnsi" w:hAnsiTheme="minorHAnsi" w:cstheme="minorHAnsi"/>
          <w:sz w:val="21"/>
          <w:szCs w:val="21"/>
        </w:rPr>
        <w:t xml:space="preserve"> </w:t>
      </w:r>
      <w:r w:rsidRPr="00FB14DF">
        <w:rPr>
          <w:rFonts w:asciiTheme="minorHAnsi" w:hAnsiTheme="minorHAnsi" w:cstheme="minorHAnsi"/>
          <w:sz w:val="21"/>
          <w:szCs w:val="21"/>
        </w:rPr>
        <w:t>sprejel</w:t>
      </w:r>
    </w:p>
    <w:p w14:paraId="102CDA45" w14:textId="77777777" w:rsidR="00704AAA" w:rsidRPr="00425359" w:rsidRDefault="00704AAA" w:rsidP="00F146A8">
      <w:pPr>
        <w:rPr>
          <w:rFonts w:asciiTheme="minorHAnsi" w:hAnsiTheme="minorHAnsi" w:cstheme="minorHAnsi"/>
          <w:sz w:val="20"/>
        </w:rPr>
      </w:pPr>
    </w:p>
    <w:p w14:paraId="23BE539F" w14:textId="77777777" w:rsidR="00F146A8" w:rsidRPr="007B5FCA" w:rsidRDefault="00F146A8" w:rsidP="00F146A8">
      <w:pPr>
        <w:jc w:val="center"/>
        <w:rPr>
          <w:rFonts w:asciiTheme="minorHAnsi" w:hAnsiTheme="minorHAnsi" w:cstheme="minorHAnsi"/>
          <w:sz w:val="24"/>
          <w:szCs w:val="24"/>
        </w:rPr>
      </w:pPr>
      <w:r w:rsidRPr="007B5FCA">
        <w:rPr>
          <w:rFonts w:asciiTheme="minorHAnsi" w:hAnsiTheme="minorHAnsi" w:cstheme="minorHAnsi"/>
          <w:sz w:val="24"/>
          <w:szCs w:val="24"/>
        </w:rPr>
        <w:t>LETNI PROGRAM ŠPORTA</w:t>
      </w:r>
    </w:p>
    <w:p w14:paraId="0A9280C5" w14:textId="3508D117" w:rsidR="00704AAA" w:rsidRPr="007B5FCA" w:rsidRDefault="007B5FCA" w:rsidP="00425359">
      <w:pPr>
        <w:jc w:val="center"/>
        <w:rPr>
          <w:rFonts w:asciiTheme="minorHAnsi" w:hAnsiTheme="minorHAnsi" w:cstheme="minorHAnsi"/>
          <w:sz w:val="24"/>
          <w:szCs w:val="24"/>
        </w:rPr>
      </w:pPr>
      <w:r w:rsidRPr="007B5FCA">
        <w:rPr>
          <w:rFonts w:asciiTheme="minorHAnsi" w:hAnsiTheme="minorHAnsi" w:cstheme="minorHAnsi"/>
          <w:sz w:val="24"/>
          <w:szCs w:val="24"/>
        </w:rPr>
        <w:t xml:space="preserve">V OBČINI RIBNICI NA POHORJU ZA LETO </w:t>
      </w:r>
      <w:r w:rsidR="00B534EC">
        <w:rPr>
          <w:rFonts w:asciiTheme="minorHAnsi" w:hAnsiTheme="minorHAnsi" w:cstheme="minorHAnsi"/>
          <w:sz w:val="24"/>
          <w:szCs w:val="24"/>
        </w:rPr>
        <w:t>2025</w:t>
      </w:r>
    </w:p>
    <w:p w14:paraId="3106E37A" w14:textId="77777777" w:rsidR="00425359" w:rsidRPr="007B5FCA" w:rsidRDefault="00425359" w:rsidP="00425359">
      <w:pPr>
        <w:jc w:val="center"/>
        <w:rPr>
          <w:rFonts w:asciiTheme="minorHAnsi" w:hAnsiTheme="minorHAnsi" w:cstheme="minorHAnsi"/>
          <w:sz w:val="16"/>
          <w:szCs w:val="16"/>
        </w:rPr>
      </w:pPr>
    </w:p>
    <w:p w14:paraId="3162C6D5" w14:textId="77777777" w:rsidR="00F146A8" w:rsidRPr="007B5FCA" w:rsidRDefault="00F146A8" w:rsidP="00F146A8">
      <w:pPr>
        <w:jc w:val="center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1. člen</w:t>
      </w:r>
    </w:p>
    <w:p w14:paraId="357294DF" w14:textId="77777777" w:rsidR="00F146A8" w:rsidRPr="007B5FCA" w:rsidRDefault="00F146A8" w:rsidP="00F146A8">
      <w:pPr>
        <w:jc w:val="center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(vsebina)</w:t>
      </w:r>
    </w:p>
    <w:p w14:paraId="07C61165" w14:textId="79E7562F" w:rsidR="00F146A8" w:rsidRPr="007B5FCA" w:rsidRDefault="00F146A8" w:rsidP="00F146A8">
      <w:pPr>
        <w:pStyle w:val="Golobesedilo"/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 xml:space="preserve">Občina </w:t>
      </w:r>
      <w:r w:rsidR="00774FCC" w:rsidRPr="007B5FCA">
        <w:rPr>
          <w:rFonts w:asciiTheme="minorHAnsi" w:hAnsiTheme="minorHAnsi" w:cstheme="minorHAnsi"/>
          <w:bCs/>
          <w:sz w:val="21"/>
          <w:szCs w:val="21"/>
        </w:rPr>
        <w:t>Ribnica na Pohorju</w:t>
      </w:r>
      <w:r w:rsidRPr="007B5FCA">
        <w:rPr>
          <w:rFonts w:asciiTheme="minorHAnsi" w:hAnsiTheme="minorHAnsi" w:cstheme="minorHAnsi"/>
          <w:sz w:val="21"/>
          <w:szCs w:val="21"/>
        </w:rPr>
        <w:t xml:space="preserve"> (v nadaljevanju: občina) v skladu z razvojnimi načrti občine in razpoložljivimi sredstvi proračuna ter s kadrovskimi in prostorskimi razmerami v športu z Letnim programom športa v občini </w:t>
      </w:r>
      <w:r w:rsidR="00774FCC" w:rsidRPr="007B5FCA">
        <w:rPr>
          <w:rFonts w:asciiTheme="minorHAnsi" w:hAnsiTheme="minorHAnsi" w:cstheme="minorHAnsi"/>
          <w:bCs/>
          <w:sz w:val="21"/>
          <w:szCs w:val="21"/>
        </w:rPr>
        <w:t>Ribnica na Pohorju</w:t>
      </w:r>
      <w:r w:rsidRPr="007B5FCA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7B5FCA">
        <w:rPr>
          <w:rFonts w:asciiTheme="minorHAnsi" w:hAnsiTheme="minorHAnsi" w:cstheme="minorHAnsi"/>
          <w:sz w:val="21"/>
          <w:szCs w:val="21"/>
        </w:rPr>
        <w:t xml:space="preserve">za leto </w:t>
      </w:r>
      <w:r w:rsidR="00B534EC">
        <w:rPr>
          <w:rFonts w:asciiTheme="minorHAnsi" w:hAnsiTheme="minorHAnsi" w:cstheme="minorHAnsi"/>
          <w:sz w:val="21"/>
          <w:szCs w:val="21"/>
        </w:rPr>
        <w:t>2025</w:t>
      </w:r>
      <w:r w:rsidRPr="007B5FCA">
        <w:rPr>
          <w:rFonts w:asciiTheme="minorHAnsi" w:hAnsiTheme="minorHAnsi" w:cstheme="minorHAnsi"/>
          <w:sz w:val="21"/>
          <w:szCs w:val="21"/>
        </w:rPr>
        <w:t xml:space="preserve"> (v nadaljevanju: LPŠ</w:t>
      </w:r>
      <w:r w:rsidR="00774FCC" w:rsidRPr="007B5FCA">
        <w:rPr>
          <w:rFonts w:asciiTheme="minorHAnsi" w:hAnsiTheme="minorHAnsi" w:cstheme="minorHAnsi"/>
          <w:sz w:val="21"/>
          <w:szCs w:val="21"/>
        </w:rPr>
        <w:t xml:space="preserve"> </w:t>
      </w:r>
      <w:r w:rsidR="00B534EC">
        <w:rPr>
          <w:rFonts w:asciiTheme="minorHAnsi" w:hAnsiTheme="minorHAnsi" w:cstheme="minorHAnsi"/>
          <w:sz w:val="21"/>
          <w:szCs w:val="21"/>
        </w:rPr>
        <w:t>2025</w:t>
      </w:r>
      <w:r w:rsidRPr="007B5FCA">
        <w:rPr>
          <w:rFonts w:asciiTheme="minorHAnsi" w:hAnsiTheme="minorHAnsi" w:cstheme="minorHAnsi"/>
          <w:sz w:val="21"/>
          <w:szCs w:val="21"/>
        </w:rPr>
        <w:t>) določi:</w:t>
      </w:r>
    </w:p>
    <w:p w14:paraId="54961620" w14:textId="13FCF32B" w:rsidR="00F146A8" w:rsidRPr="007B5FCA" w:rsidRDefault="001E03A8" w:rsidP="00A5455B">
      <w:pPr>
        <w:pStyle w:val="Golobesedilo"/>
        <w:numPr>
          <w:ilvl w:val="0"/>
          <w:numId w:val="1"/>
        </w:numPr>
        <w:tabs>
          <w:tab w:val="num" w:pos="780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 xml:space="preserve">vrsto in obseg športnih </w:t>
      </w:r>
      <w:r w:rsidR="006B2ED4" w:rsidRPr="007B5FCA">
        <w:rPr>
          <w:rFonts w:asciiTheme="minorHAnsi" w:hAnsiTheme="minorHAnsi" w:cstheme="minorHAnsi"/>
          <w:sz w:val="21"/>
          <w:szCs w:val="21"/>
        </w:rPr>
        <w:t>program</w:t>
      </w:r>
      <w:r w:rsidRPr="007B5FCA">
        <w:rPr>
          <w:rFonts w:asciiTheme="minorHAnsi" w:hAnsiTheme="minorHAnsi" w:cstheme="minorHAnsi"/>
          <w:sz w:val="21"/>
          <w:szCs w:val="21"/>
        </w:rPr>
        <w:t>ov</w:t>
      </w:r>
      <w:r w:rsidR="00425359" w:rsidRPr="007B5FCA">
        <w:rPr>
          <w:rFonts w:asciiTheme="minorHAnsi" w:hAnsiTheme="minorHAnsi" w:cstheme="minorHAnsi"/>
          <w:sz w:val="21"/>
          <w:szCs w:val="21"/>
        </w:rPr>
        <w:t xml:space="preserve"> in </w:t>
      </w:r>
      <w:r w:rsidR="00F146A8" w:rsidRPr="007B5FCA">
        <w:rPr>
          <w:rFonts w:asciiTheme="minorHAnsi" w:hAnsiTheme="minorHAnsi" w:cstheme="minorHAnsi"/>
          <w:sz w:val="21"/>
          <w:szCs w:val="21"/>
        </w:rPr>
        <w:t>področ</w:t>
      </w:r>
      <w:r w:rsidRPr="007B5FCA">
        <w:rPr>
          <w:rFonts w:asciiTheme="minorHAnsi" w:hAnsiTheme="minorHAnsi" w:cstheme="minorHAnsi"/>
          <w:sz w:val="21"/>
          <w:szCs w:val="21"/>
        </w:rPr>
        <w:t>ij</w:t>
      </w:r>
      <w:r w:rsidR="00F146A8" w:rsidRPr="007B5FCA">
        <w:rPr>
          <w:rFonts w:asciiTheme="minorHAnsi" w:hAnsiTheme="minorHAnsi" w:cstheme="minorHAnsi"/>
          <w:sz w:val="21"/>
          <w:szCs w:val="21"/>
        </w:rPr>
        <w:t xml:space="preserve">, ki se </w:t>
      </w:r>
      <w:r w:rsidR="00774FCC" w:rsidRPr="007B5FCA">
        <w:rPr>
          <w:rFonts w:asciiTheme="minorHAnsi" w:hAnsiTheme="minorHAnsi" w:cstheme="minorHAnsi"/>
          <w:sz w:val="21"/>
          <w:szCs w:val="21"/>
        </w:rPr>
        <w:t xml:space="preserve">v letu </w:t>
      </w:r>
      <w:r w:rsidR="00B534EC">
        <w:rPr>
          <w:rFonts w:asciiTheme="minorHAnsi" w:hAnsiTheme="minorHAnsi" w:cstheme="minorHAnsi"/>
          <w:sz w:val="21"/>
          <w:szCs w:val="21"/>
        </w:rPr>
        <w:t>2025</w:t>
      </w:r>
      <w:r w:rsidR="006B2ED4" w:rsidRPr="007B5FCA">
        <w:rPr>
          <w:rFonts w:asciiTheme="minorHAnsi" w:hAnsiTheme="minorHAnsi" w:cstheme="minorHAnsi"/>
          <w:sz w:val="21"/>
          <w:szCs w:val="21"/>
        </w:rPr>
        <w:t xml:space="preserve"> </w:t>
      </w:r>
      <w:r w:rsidR="00F146A8" w:rsidRPr="007B5FCA">
        <w:rPr>
          <w:rFonts w:asciiTheme="minorHAnsi" w:hAnsiTheme="minorHAnsi" w:cstheme="minorHAnsi"/>
          <w:sz w:val="21"/>
          <w:szCs w:val="21"/>
        </w:rPr>
        <w:t xml:space="preserve">sofinancirajo iz občinskega proračuna, </w:t>
      </w:r>
    </w:p>
    <w:p w14:paraId="1CDB9993" w14:textId="2A8115D6" w:rsidR="006B2ED4" w:rsidRPr="007B5FCA" w:rsidRDefault="00F146A8" w:rsidP="00A5455B">
      <w:pPr>
        <w:pStyle w:val="Golobesedilo"/>
        <w:numPr>
          <w:ilvl w:val="0"/>
          <w:numId w:val="1"/>
        </w:numPr>
        <w:tabs>
          <w:tab w:val="num" w:pos="780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višino proračun</w:t>
      </w:r>
      <w:r w:rsidR="006B2ED4" w:rsidRPr="007B5FCA">
        <w:rPr>
          <w:rFonts w:asciiTheme="minorHAnsi" w:hAnsiTheme="minorHAnsi" w:cstheme="minorHAnsi"/>
          <w:sz w:val="21"/>
          <w:szCs w:val="21"/>
        </w:rPr>
        <w:t>skih</w:t>
      </w:r>
      <w:r w:rsidRPr="007B5FCA">
        <w:rPr>
          <w:rFonts w:asciiTheme="minorHAnsi" w:hAnsiTheme="minorHAnsi" w:cstheme="minorHAnsi"/>
          <w:sz w:val="21"/>
          <w:szCs w:val="21"/>
        </w:rPr>
        <w:t xml:space="preserve"> </w:t>
      </w:r>
      <w:r w:rsidR="006B2ED4" w:rsidRPr="007B5FCA">
        <w:rPr>
          <w:rFonts w:asciiTheme="minorHAnsi" w:hAnsiTheme="minorHAnsi" w:cstheme="minorHAnsi"/>
          <w:sz w:val="21"/>
          <w:szCs w:val="21"/>
        </w:rPr>
        <w:t xml:space="preserve">sredstev </w:t>
      </w:r>
      <w:r w:rsidRPr="007B5FCA">
        <w:rPr>
          <w:rFonts w:asciiTheme="minorHAnsi" w:hAnsiTheme="minorHAnsi" w:cstheme="minorHAnsi"/>
          <w:sz w:val="21"/>
          <w:szCs w:val="21"/>
        </w:rPr>
        <w:t xml:space="preserve">za </w:t>
      </w:r>
      <w:r w:rsidR="006B2ED4" w:rsidRPr="007B5FCA">
        <w:rPr>
          <w:rFonts w:asciiTheme="minorHAnsi" w:hAnsiTheme="minorHAnsi" w:cstheme="minorHAnsi"/>
          <w:sz w:val="21"/>
          <w:szCs w:val="21"/>
        </w:rPr>
        <w:t>sofinanciranje</w:t>
      </w:r>
      <w:r w:rsidR="00F8614E" w:rsidRPr="007B5FCA">
        <w:rPr>
          <w:rFonts w:asciiTheme="minorHAnsi" w:hAnsiTheme="minorHAnsi" w:cstheme="minorHAnsi"/>
          <w:sz w:val="21"/>
          <w:szCs w:val="21"/>
        </w:rPr>
        <w:t xml:space="preserve"> športnih</w:t>
      </w:r>
      <w:r w:rsidRPr="007B5FCA">
        <w:rPr>
          <w:rFonts w:asciiTheme="minorHAnsi" w:hAnsiTheme="minorHAnsi" w:cstheme="minorHAnsi"/>
          <w:sz w:val="21"/>
          <w:szCs w:val="21"/>
        </w:rPr>
        <w:t xml:space="preserve"> program</w:t>
      </w:r>
      <w:r w:rsidR="006B2ED4" w:rsidRPr="007B5FCA">
        <w:rPr>
          <w:rFonts w:asciiTheme="minorHAnsi" w:hAnsiTheme="minorHAnsi" w:cstheme="minorHAnsi"/>
          <w:sz w:val="21"/>
          <w:szCs w:val="21"/>
        </w:rPr>
        <w:t>ov</w:t>
      </w:r>
      <w:r w:rsidR="00425359" w:rsidRPr="007B5FCA">
        <w:rPr>
          <w:rFonts w:asciiTheme="minorHAnsi" w:hAnsiTheme="minorHAnsi" w:cstheme="minorHAnsi"/>
          <w:sz w:val="21"/>
          <w:szCs w:val="21"/>
        </w:rPr>
        <w:t xml:space="preserve"> in </w:t>
      </w:r>
      <w:r w:rsidRPr="007B5FCA">
        <w:rPr>
          <w:rFonts w:asciiTheme="minorHAnsi" w:hAnsiTheme="minorHAnsi" w:cstheme="minorHAnsi"/>
          <w:sz w:val="21"/>
          <w:szCs w:val="21"/>
        </w:rPr>
        <w:t>področ</w:t>
      </w:r>
      <w:r w:rsidR="006B2ED4" w:rsidRPr="007B5FCA">
        <w:rPr>
          <w:rFonts w:asciiTheme="minorHAnsi" w:hAnsiTheme="minorHAnsi" w:cstheme="minorHAnsi"/>
          <w:sz w:val="21"/>
          <w:szCs w:val="21"/>
        </w:rPr>
        <w:t xml:space="preserve">ij </w:t>
      </w:r>
      <w:r w:rsidR="00774FCC" w:rsidRPr="007B5FCA">
        <w:rPr>
          <w:rFonts w:asciiTheme="minorHAnsi" w:hAnsiTheme="minorHAnsi" w:cstheme="minorHAnsi"/>
          <w:sz w:val="21"/>
          <w:szCs w:val="21"/>
        </w:rPr>
        <w:t xml:space="preserve">v letu </w:t>
      </w:r>
      <w:r w:rsidR="00B534EC">
        <w:rPr>
          <w:rFonts w:asciiTheme="minorHAnsi" w:hAnsiTheme="minorHAnsi" w:cstheme="minorHAnsi"/>
          <w:sz w:val="21"/>
          <w:szCs w:val="21"/>
        </w:rPr>
        <w:t>2025</w:t>
      </w:r>
      <w:bookmarkStart w:id="2" w:name="_Hlk19516843"/>
      <w:r w:rsidR="00B534EC">
        <w:rPr>
          <w:rFonts w:asciiTheme="minorHAnsi" w:hAnsiTheme="minorHAnsi" w:cstheme="minorHAnsi"/>
          <w:sz w:val="21"/>
          <w:szCs w:val="21"/>
        </w:rPr>
        <w:t>.</w:t>
      </w:r>
    </w:p>
    <w:bookmarkEnd w:id="2"/>
    <w:p w14:paraId="127126BE" w14:textId="77777777" w:rsidR="00F146A8" w:rsidRPr="007B5FCA" w:rsidRDefault="00F146A8" w:rsidP="001E03A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19E80A29" w14:textId="77777777" w:rsidR="00F146A8" w:rsidRPr="007B5FCA" w:rsidRDefault="00A64584" w:rsidP="00F146A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2</w:t>
      </w:r>
      <w:r w:rsidR="00F146A8" w:rsidRPr="007B5FCA">
        <w:rPr>
          <w:rFonts w:asciiTheme="minorHAnsi" w:hAnsiTheme="minorHAnsi" w:cstheme="minorHAnsi"/>
          <w:sz w:val="21"/>
          <w:szCs w:val="21"/>
        </w:rPr>
        <w:t>. člen</w:t>
      </w:r>
    </w:p>
    <w:p w14:paraId="75DA9724" w14:textId="77777777" w:rsidR="00F146A8" w:rsidRPr="007B5FCA" w:rsidRDefault="00F146A8" w:rsidP="00F146A8">
      <w:pPr>
        <w:pStyle w:val="Glava"/>
        <w:tabs>
          <w:tab w:val="clear" w:pos="4536"/>
          <w:tab w:val="clear" w:pos="9072"/>
        </w:tabs>
        <w:jc w:val="center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(programi in področja športa)</w:t>
      </w:r>
    </w:p>
    <w:p w14:paraId="5DE52E85" w14:textId="5FA0049A" w:rsidR="00F146A8" w:rsidRPr="007B5FCA" w:rsidRDefault="00F146A8" w:rsidP="00F146A8">
      <w:pPr>
        <w:pStyle w:val="Glava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 xml:space="preserve">V letu </w:t>
      </w:r>
      <w:r w:rsidR="00B534EC">
        <w:rPr>
          <w:rFonts w:asciiTheme="minorHAnsi" w:hAnsiTheme="minorHAnsi" w:cstheme="minorHAnsi"/>
          <w:sz w:val="21"/>
          <w:szCs w:val="21"/>
        </w:rPr>
        <w:t>2025</w:t>
      </w:r>
      <w:r w:rsidRPr="007B5FCA">
        <w:rPr>
          <w:rFonts w:asciiTheme="minorHAnsi" w:hAnsiTheme="minorHAnsi" w:cstheme="minorHAnsi"/>
          <w:sz w:val="21"/>
          <w:szCs w:val="21"/>
        </w:rPr>
        <w:t xml:space="preserve"> se iz sredstev proračuna občine sofinancirajo naslednji programi in področja športa:</w:t>
      </w:r>
    </w:p>
    <w:p w14:paraId="3C369AA1" w14:textId="77777777" w:rsidR="00F146A8" w:rsidRPr="007B5FCA" w:rsidRDefault="00F146A8" w:rsidP="00A5455B">
      <w:pPr>
        <w:pStyle w:val="Brezrazmikov"/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ŠPORTNI PROGRAMI:</w:t>
      </w:r>
    </w:p>
    <w:p w14:paraId="560BFF6E" w14:textId="0CEB9FBE" w:rsidR="00F146A8" w:rsidRPr="007B5FCA" w:rsidRDefault="00F146A8" w:rsidP="00A5455B">
      <w:pPr>
        <w:pStyle w:val="Brezrazmikov"/>
        <w:numPr>
          <w:ilvl w:val="0"/>
          <w:numId w:val="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Prostočasna športna vzgoja otrok in mladine (</w:t>
      </w:r>
      <w:r w:rsidR="00F8614E" w:rsidRPr="007B5FCA">
        <w:rPr>
          <w:rFonts w:asciiTheme="minorHAnsi" w:hAnsiTheme="minorHAnsi" w:cstheme="minorHAnsi"/>
          <w:sz w:val="21"/>
          <w:szCs w:val="21"/>
        </w:rPr>
        <w:t>P</w:t>
      </w:r>
      <w:r w:rsidR="00425359" w:rsidRPr="007B5FCA">
        <w:rPr>
          <w:rFonts w:asciiTheme="minorHAnsi" w:hAnsiTheme="minorHAnsi" w:cstheme="minorHAnsi"/>
          <w:sz w:val="21"/>
          <w:szCs w:val="21"/>
        </w:rPr>
        <w:t>RO</w:t>
      </w:r>
      <w:r w:rsidRPr="007B5FCA">
        <w:rPr>
          <w:rFonts w:asciiTheme="minorHAnsi" w:hAnsiTheme="minorHAnsi" w:cstheme="minorHAnsi"/>
          <w:sz w:val="21"/>
          <w:szCs w:val="21"/>
        </w:rPr>
        <w:t>):</w:t>
      </w:r>
    </w:p>
    <w:p w14:paraId="25531593" w14:textId="77777777" w:rsidR="00F146A8" w:rsidRPr="007B5FCA" w:rsidRDefault="00F146A8" w:rsidP="00A5455B">
      <w:pPr>
        <w:pStyle w:val="Brezrazmikov"/>
        <w:numPr>
          <w:ilvl w:val="1"/>
          <w:numId w:val="7"/>
        </w:numPr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 xml:space="preserve">celoletni </w:t>
      </w:r>
      <w:r w:rsidR="00475FED" w:rsidRPr="007B5FCA">
        <w:rPr>
          <w:rFonts w:asciiTheme="minorHAnsi" w:hAnsiTheme="minorHAnsi" w:cstheme="minorHAnsi"/>
          <w:sz w:val="21"/>
          <w:szCs w:val="21"/>
        </w:rPr>
        <w:t>prostočasni</w:t>
      </w:r>
      <w:r w:rsidRPr="007B5FCA">
        <w:rPr>
          <w:rFonts w:asciiTheme="minorHAnsi" w:hAnsiTheme="minorHAnsi" w:cstheme="minorHAnsi"/>
          <w:sz w:val="21"/>
          <w:szCs w:val="21"/>
        </w:rPr>
        <w:t xml:space="preserve"> programi za otroke in mladino.</w:t>
      </w:r>
    </w:p>
    <w:p w14:paraId="09E67CA1" w14:textId="77777777" w:rsidR="00F146A8" w:rsidRPr="007B5FCA" w:rsidRDefault="00F146A8" w:rsidP="00A5455B">
      <w:pPr>
        <w:pStyle w:val="Brezrazmikov"/>
        <w:numPr>
          <w:ilvl w:val="0"/>
          <w:numId w:val="7"/>
        </w:num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Športna rekreacija (RE):</w:t>
      </w:r>
    </w:p>
    <w:p w14:paraId="6A47F0AC" w14:textId="4C7E30CC" w:rsidR="00F146A8" w:rsidRPr="007B5FCA" w:rsidRDefault="00F146A8" w:rsidP="00A5455B">
      <w:pPr>
        <w:pStyle w:val="Brezrazmikov"/>
        <w:numPr>
          <w:ilvl w:val="1"/>
          <w:numId w:val="7"/>
        </w:numPr>
        <w:jc w:val="both"/>
        <w:rPr>
          <w:rFonts w:asciiTheme="minorHAnsi" w:hAnsiTheme="minorHAnsi" w:cstheme="minorHAnsi"/>
          <w:bCs/>
          <w:sz w:val="21"/>
          <w:szCs w:val="21"/>
        </w:rPr>
      </w:pPr>
      <w:bookmarkStart w:id="3" w:name="_Hlk97113118"/>
      <w:r w:rsidRPr="007B5FCA">
        <w:rPr>
          <w:rFonts w:asciiTheme="minorHAnsi" w:hAnsiTheme="minorHAnsi" w:cstheme="minorHAnsi"/>
          <w:bCs/>
          <w:sz w:val="21"/>
          <w:szCs w:val="21"/>
        </w:rPr>
        <w:t xml:space="preserve">celoletni </w:t>
      </w:r>
      <w:r w:rsidR="00475FED" w:rsidRPr="007B5FCA">
        <w:rPr>
          <w:rFonts w:asciiTheme="minorHAnsi" w:hAnsiTheme="minorHAnsi" w:cstheme="minorHAnsi"/>
          <w:bCs/>
          <w:sz w:val="21"/>
          <w:szCs w:val="21"/>
        </w:rPr>
        <w:t>športno</w:t>
      </w:r>
      <w:r w:rsidR="00704AAA" w:rsidRPr="007B5FCA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475FED" w:rsidRPr="007B5FCA">
        <w:rPr>
          <w:rFonts w:asciiTheme="minorHAnsi" w:hAnsiTheme="minorHAnsi" w:cstheme="minorHAnsi"/>
          <w:bCs/>
          <w:sz w:val="21"/>
          <w:szCs w:val="21"/>
        </w:rPr>
        <w:t>rekreativni</w:t>
      </w:r>
      <w:r w:rsidRPr="007B5FCA">
        <w:rPr>
          <w:rFonts w:asciiTheme="minorHAnsi" w:hAnsiTheme="minorHAnsi" w:cstheme="minorHAnsi"/>
          <w:bCs/>
          <w:sz w:val="21"/>
          <w:szCs w:val="21"/>
        </w:rPr>
        <w:t xml:space="preserve"> programi za odrasle</w:t>
      </w:r>
      <w:r w:rsidR="00425359" w:rsidRPr="007B5FCA">
        <w:rPr>
          <w:rFonts w:asciiTheme="minorHAnsi" w:hAnsiTheme="minorHAnsi" w:cstheme="minorHAnsi"/>
          <w:bCs/>
          <w:sz w:val="21"/>
          <w:szCs w:val="21"/>
        </w:rPr>
        <w:t>,</w:t>
      </w:r>
    </w:p>
    <w:p w14:paraId="2022E6E4" w14:textId="081421CC" w:rsidR="00425359" w:rsidRPr="007B5FCA" w:rsidRDefault="00425359" w:rsidP="00A5455B">
      <w:pPr>
        <w:pStyle w:val="Brezrazmikov"/>
        <w:numPr>
          <w:ilvl w:val="1"/>
          <w:numId w:val="7"/>
        </w:num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celoletni rekreativno-tekmovalni progami za odrasle</w:t>
      </w:r>
      <w:r w:rsidR="00E53572">
        <w:rPr>
          <w:rFonts w:asciiTheme="minorHAnsi" w:hAnsiTheme="minorHAnsi" w:cstheme="minorHAnsi"/>
          <w:bCs/>
          <w:sz w:val="21"/>
          <w:szCs w:val="21"/>
        </w:rPr>
        <w:t>.</w:t>
      </w:r>
    </w:p>
    <w:bookmarkEnd w:id="3"/>
    <w:p w14:paraId="64E8DB90" w14:textId="6FC021C3" w:rsidR="00F146A8" w:rsidRPr="007B5FCA" w:rsidRDefault="00F146A8" w:rsidP="00A5455B">
      <w:pPr>
        <w:pStyle w:val="Brezrazmikov"/>
        <w:numPr>
          <w:ilvl w:val="0"/>
          <w:numId w:val="7"/>
        </w:num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Šport starejših (ŠS</w:t>
      </w:r>
      <w:r w:rsidR="00B534EC">
        <w:rPr>
          <w:rFonts w:asciiTheme="minorHAnsi" w:hAnsiTheme="minorHAnsi" w:cstheme="minorHAnsi"/>
          <w:sz w:val="21"/>
          <w:szCs w:val="21"/>
        </w:rPr>
        <w:t>TA</w:t>
      </w:r>
      <w:r w:rsidRPr="007B5FCA">
        <w:rPr>
          <w:rFonts w:asciiTheme="minorHAnsi" w:hAnsiTheme="minorHAnsi" w:cstheme="minorHAnsi"/>
          <w:sz w:val="21"/>
          <w:szCs w:val="21"/>
        </w:rPr>
        <w:t>):</w:t>
      </w:r>
    </w:p>
    <w:p w14:paraId="543BFE6D" w14:textId="77777777" w:rsidR="00F146A8" w:rsidRPr="007B5FCA" w:rsidRDefault="00F146A8" w:rsidP="00A5455B">
      <w:pPr>
        <w:pStyle w:val="Brezrazmikov"/>
        <w:numPr>
          <w:ilvl w:val="1"/>
          <w:numId w:val="7"/>
        </w:num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 xml:space="preserve">celoletni </w:t>
      </w:r>
      <w:r w:rsidR="00475FED" w:rsidRPr="007B5FCA">
        <w:rPr>
          <w:rFonts w:asciiTheme="minorHAnsi" w:hAnsiTheme="minorHAnsi" w:cstheme="minorHAnsi"/>
          <w:bCs/>
          <w:sz w:val="21"/>
          <w:szCs w:val="21"/>
        </w:rPr>
        <w:t>športno</w:t>
      </w:r>
      <w:r w:rsidR="00704AAA" w:rsidRPr="007B5FCA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="00475FED" w:rsidRPr="007B5FCA">
        <w:rPr>
          <w:rFonts w:asciiTheme="minorHAnsi" w:hAnsiTheme="minorHAnsi" w:cstheme="minorHAnsi"/>
          <w:bCs/>
          <w:sz w:val="21"/>
          <w:szCs w:val="21"/>
        </w:rPr>
        <w:t>rekreativni</w:t>
      </w:r>
      <w:r w:rsidRPr="007B5FCA">
        <w:rPr>
          <w:rFonts w:asciiTheme="minorHAnsi" w:hAnsiTheme="minorHAnsi" w:cstheme="minorHAnsi"/>
          <w:bCs/>
          <w:sz w:val="21"/>
          <w:szCs w:val="21"/>
        </w:rPr>
        <w:t xml:space="preserve"> programi za starejše.</w:t>
      </w:r>
    </w:p>
    <w:p w14:paraId="1C9C70A5" w14:textId="77777777" w:rsidR="00F146A8" w:rsidRPr="007B5FCA" w:rsidRDefault="00F146A8" w:rsidP="00A5455B">
      <w:pPr>
        <w:pStyle w:val="Brezrazmikov"/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ŠPORTNI OBJEKTI IN POVRŠINE ZA ŠPORT V NARAVI:</w:t>
      </w:r>
    </w:p>
    <w:p w14:paraId="389A23A3" w14:textId="7A5ACA69" w:rsidR="00F146A8" w:rsidRPr="007B5FCA" w:rsidRDefault="00E53572" w:rsidP="00A5455B">
      <w:pPr>
        <w:pStyle w:val="Brezrazmikov"/>
        <w:numPr>
          <w:ilvl w:val="0"/>
          <w:numId w:val="7"/>
        </w:numPr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s</w:t>
      </w:r>
      <w:r w:rsidR="005D1AF0" w:rsidRPr="007B5FCA">
        <w:rPr>
          <w:rFonts w:asciiTheme="minorHAnsi" w:hAnsiTheme="minorHAnsi" w:cstheme="minorHAnsi"/>
          <w:sz w:val="21"/>
          <w:szCs w:val="21"/>
        </w:rPr>
        <w:t xml:space="preserve">troški </w:t>
      </w:r>
      <w:r>
        <w:rPr>
          <w:rFonts w:asciiTheme="minorHAnsi" w:hAnsiTheme="minorHAnsi" w:cstheme="minorHAnsi"/>
          <w:sz w:val="21"/>
          <w:szCs w:val="21"/>
        </w:rPr>
        <w:t xml:space="preserve">obratovanja in vzdrževanja </w:t>
      </w:r>
      <w:r w:rsidR="005D1AF0" w:rsidRPr="007B5FCA">
        <w:rPr>
          <w:rFonts w:asciiTheme="minorHAnsi" w:hAnsiTheme="minorHAnsi" w:cstheme="minorHAnsi"/>
          <w:sz w:val="21"/>
          <w:szCs w:val="21"/>
        </w:rPr>
        <w:t>športnih objektov in površin za šport v naravi</w:t>
      </w:r>
      <w:r>
        <w:rPr>
          <w:rFonts w:asciiTheme="minorHAnsi" w:hAnsiTheme="minorHAnsi" w:cstheme="minorHAnsi"/>
          <w:sz w:val="21"/>
          <w:szCs w:val="21"/>
        </w:rPr>
        <w:t xml:space="preserve"> v občini</w:t>
      </w:r>
      <w:r w:rsidR="00A5455B" w:rsidRPr="007B5FCA">
        <w:rPr>
          <w:rFonts w:asciiTheme="minorHAnsi" w:hAnsiTheme="minorHAnsi" w:cstheme="minorHAnsi"/>
          <w:sz w:val="21"/>
          <w:szCs w:val="21"/>
        </w:rPr>
        <w:t>.</w:t>
      </w:r>
    </w:p>
    <w:p w14:paraId="0C55F8D0" w14:textId="77777777" w:rsidR="00F146A8" w:rsidRPr="007B5FCA" w:rsidRDefault="00F146A8" w:rsidP="00A5455B">
      <w:pPr>
        <w:pStyle w:val="Brezrazmikov"/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ORGANIZIRANOST V ŠPORTU:</w:t>
      </w:r>
    </w:p>
    <w:p w14:paraId="5936F9CF" w14:textId="77777777" w:rsidR="00F146A8" w:rsidRPr="007B5FCA" w:rsidRDefault="005D1AF0" w:rsidP="00A5455B">
      <w:pPr>
        <w:pStyle w:val="Brezrazmikov"/>
        <w:numPr>
          <w:ilvl w:val="0"/>
          <w:numId w:val="7"/>
        </w:num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D</w:t>
      </w:r>
      <w:r w:rsidR="00F146A8" w:rsidRPr="007B5FCA">
        <w:rPr>
          <w:rFonts w:asciiTheme="minorHAnsi" w:hAnsiTheme="minorHAnsi" w:cstheme="minorHAnsi"/>
          <w:bCs/>
          <w:sz w:val="21"/>
          <w:szCs w:val="21"/>
        </w:rPr>
        <w:t>elovanje športnih društev.</w:t>
      </w:r>
    </w:p>
    <w:p w14:paraId="2D1A6785" w14:textId="77777777" w:rsidR="005D1AF0" w:rsidRPr="007B5FCA" w:rsidRDefault="005D1AF0" w:rsidP="00A5455B">
      <w:pPr>
        <w:pStyle w:val="Brezrazmikov"/>
        <w:jc w:val="both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ŠPORTNE PIRIREDITVE:</w:t>
      </w:r>
    </w:p>
    <w:p w14:paraId="690233AE" w14:textId="77777777" w:rsidR="005D1AF0" w:rsidRPr="007B5FCA" w:rsidRDefault="005D1AF0" w:rsidP="00A5455B">
      <w:pPr>
        <w:pStyle w:val="Brezrazmikov"/>
        <w:numPr>
          <w:ilvl w:val="0"/>
          <w:numId w:val="7"/>
        </w:numPr>
        <w:jc w:val="both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Lokalno pomembne športne prireditve.</w:t>
      </w:r>
    </w:p>
    <w:p w14:paraId="1485764D" w14:textId="77777777" w:rsidR="00F146A8" w:rsidRPr="007B5FCA" w:rsidRDefault="00F146A8" w:rsidP="00AA5B16">
      <w:pPr>
        <w:tabs>
          <w:tab w:val="left" w:pos="4560"/>
        </w:tabs>
        <w:jc w:val="both"/>
        <w:rPr>
          <w:rFonts w:asciiTheme="minorHAnsi" w:hAnsiTheme="minorHAnsi" w:cstheme="minorHAnsi"/>
          <w:color w:val="FF0000"/>
          <w:sz w:val="16"/>
          <w:szCs w:val="16"/>
        </w:rPr>
      </w:pPr>
    </w:p>
    <w:p w14:paraId="5F182483" w14:textId="77777777" w:rsidR="00F146A8" w:rsidRPr="007B5FCA" w:rsidRDefault="00FD6584" w:rsidP="00F146A8">
      <w:pPr>
        <w:jc w:val="center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3</w:t>
      </w:r>
      <w:r w:rsidR="00F146A8" w:rsidRPr="007B5FCA">
        <w:rPr>
          <w:rFonts w:asciiTheme="minorHAnsi" w:hAnsiTheme="minorHAnsi" w:cstheme="minorHAnsi"/>
          <w:sz w:val="21"/>
          <w:szCs w:val="21"/>
        </w:rPr>
        <w:t>. člen</w:t>
      </w:r>
    </w:p>
    <w:p w14:paraId="3C3DACCD" w14:textId="77777777" w:rsidR="00F146A8" w:rsidRPr="007B5FCA" w:rsidRDefault="00F146A8" w:rsidP="00F146A8">
      <w:pPr>
        <w:jc w:val="center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(višina proračunskih sredstev)</w:t>
      </w:r>
    </w:p>
    <w:p w14:paraId="251B0DF0" w14:textId="04EB14EC" w:rsidR="00F146A8" w:rsidRDefault="00F146A8" w:rsidP="00F146A8">
      <w:pPr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 xml:space="preserve">Sredstva za realizacijo LPŠ so zagotovljena z Odlokom o proračunu občine za leto </w:t>
      </w:r>
      <w:r w:rsidR="00B534EC">
        <w:rPr>
          <w:rFonts w:asciiTheme="minorHAnsi" w:hAnsiTheme="minorHAnsi" w:cstheme="minorHAnsi"/>
          <w:sz w:val="21"/>
          <w:szCs w:val="21"/>
        </w:rPr>
        <w:t>2025</w:t>
      </w:r>
      <w:r w:rsidRPr="007B5FCA">
        <w:rPr>
          <w:rFonts w:asciiTheme="minorHAnsi" w:hAnsiTheme="minorHAnsi" w:cstheme="minorHAnsi"/>
          <w:sz w:val="21"/>
          <w:szCs w:val="21"/>
        </w:rPr>
        <w:t xml:space="preserve"> in sicer:</w:t>
      </w:r>
    </w:p>
    <w:tbl>
      <w:tblPr>
        <w:tblW w:w="102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4800"/>
        <w:gridCol w:w="920"/>
        <w:gridCol w:w="1760"/>
        <w:gridCol w:w="920"/>
        <w:gridCol w:w="920"/>
      </w:tblGrid>
      <w:tr w:rsidR="00B534EC" w:rsidRPr="00B534EC" w14:paraId="59C46B4A" w14:textId="77777777" w:rsidTr="00B534EC">
        <w:trPr>
          <w:trHeight w:val="255"/>
          <w:jc w:val="center"/>
        </w:trPr>
        <w:tc>
          <w:tcPr>
            <w:tcW w:w="5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B63A1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8"/>
                <w:szCs w:val="28"/>
                <w:lang w:eastAsia="sl-SI"/>
              </w:rPr>
            </w:pPr>
            <w:r w:rsidRPr="00B534EC">
              <w:rPr>
                <w:rFonts w:ascii="Calibri" w:hAnsi="Calibri" w:cs="Calibri"/>
                <w:sz w:val="28"/>
                <w:szCs w:val="28"/>
                <w:lang w:eastAsia="sl-SI"/>
              </w:rPr>
              <w:t>ŠPORTNI PROGRAMI IN PODROČJA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9E3FE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sz w:val="24"/>
                <w:szCs w:val="24"/>
                <w:lang w:eastAsia="sl-SI"/>
              </w:rPr>
              <w:t>p. p.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33BC4C35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color w:val="000000"/>
                <w:sz w:val="24"/>
                <w:szCs w:val="24"/>
                <w:lang w:eastAsia="sl-SI"/>
              </w:rPr>
              <w:t>2025</w:t>
            </w:r>
          </w:p>
        </w:tc>
      </w:tr>
      <w:tr w:rsidR="00B534EC" w:rsidRPr="00B534EC" w14:paraId="1FC6A23E" w14:textId="77777777" w:rsidTr="00B534EC">
        <w:trPr>
          <w:trHeight w:val="255"/>
          <w:jc w:val="center"/>
        </w:trPr>
        <w:tc>
          <w:tcPr>
            <w:tcW w:w="5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4CE26" w14:textId="77777777" w:rsidR="00B534EC" w:rsidRPr="00B534EC" w:rsidRDefault="00B534EC" w:rsidP="00B534EC">
            <w:pPr>
              <w:rPr>
                <w:rFonts w:ascii="Calibri" w:hAnsi="Calibri" w:cs="Calibri"/>
                <w:sz w:val="28"/>
                <w:szCs w:val="28"/>
                <w:lang w:eastAsia="sl-SI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56098" w14:textId="77777777" w:rsidR="00B534EC" w:rsidRPr="00B534EC" w:rsidRDefault="00B534EC" w:rsidP="00B534EC">
            <w:pPr>
              <w:rPr>
                <w:rFonts w:ascii="Calibri" w:hAnsi="Calibri" w:cs="Calibri"/>
                <w:sz w:val="24"/>
                <w:szCs w:val="24"/>
                <w:lang w:eastAsia="sl-SI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59078A6C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color w:val="000000"/>
                <w:sz w:val="24"/>
                <w:szCs w:val="24"/>
                <w:lang w:eastAsia="sl-SI"/>
              </w:rPr>
              <w:t>sredstva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11563DF5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color w:val="000000"/>
                <w:sz w:val="20"/>
                <w:lang w:eastAsia="sl-SI"/>
              </w:rPr>
            </w:pPr>
            <w:r w:rsidRPr="00B534EC">
              <w:rPr>
                <w:rFonts w:ascii="Calibri" w:hAnsi="Calibri" w:cs="Calibri"/>
                <w:color w:val="000000"/>
                <w:sz w:val="20"/>
                <w:lang w:eastAsia="sl-SI"/>
              </w:rPr>
              <w:t>v 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3493A8FC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color w:val="000000"/>
                <w:sz w:val="20"/>
                <w:lang w:eastAsia="sl-SI"/>
              </w:rPr>
            </w:pPr>
            <w:r w:rsidRPr="00B534EC">
              <w:rPr>
                <w:rFonts w:ascii="Calibri" w:hAnsi="Calibri" w:cs="Calibri"/>
                <w:color w:val="000000"/>
                <w:sz w:val="20"/>
                <w:lang w:eastAsia="sl-SI"/>
              </w:rPr>
              <w:t>v % abs.</w:t>
            </w:r>
          </w:p>
        </w:tc>
      </w:tr>
      <w:tr w:rsidR="00B534EC" w:rsidRPr="00B534EC" w14:paraId="7E32ECC1" w14:textId="77777777" w:rsidTr="00B534EC">
        <w:trPr>
          <w:trHeight w:val="25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224ADE12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B534EC">
              <w:rPr>
                <w:rFonts w:ascii="Calibri" w:hAnsi="Calibri" w:cs="Calibri"/>
                <w:sz w:val="18"/>
                <w:szCs w:val="18"/>
                <w:lang w:eastAsia="sl-SI"/>
              </w:rPr>
              <w:t>PRO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61F33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celoletni </w:t>
            </w:r>
            <w:proofErr w:type="spellStart"/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netekmovalni</w:t>
            </w:r>
            <w:proofErr w:type="spellEnd"/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programi 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7A605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180516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D407" w14:textId="77777777" w:rsidR="00B534EC" w:rsidRPr="00B534EC" w:rsidRDefault="00B534EC" w:rsidP="00B534EC">
            <w:pPr>
              <w:jc w:val="right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sz w:val="24"/>
                <w:szCs w:val="24"/>
                <w:lang w:eastAsia="sl-SI"/>
              </w:rPr>
              <w:t>400,00 €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ACB96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4,21%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1186D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0,92%</w:t>
            </w:r>
          </w:p>
        </w:tc>
      </w:tr>
      <w:tr w:rsidR="00B534EC" w:rsidRPr="00B534EC" w14:paraId="115EDA89" w14:textId="77777777" w:rsidTr="00B534EC">
        <w:trPr>
          <w:trHeight w:val="25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02B19C2E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B534EC">
              <w:rPr>
                <w:rFonts w:ascii="Calibri" w:hAnsi="Calibri" w:cs="Calibri"/>
                <w:sz w:val="18"/>
                <w:szCs w:val="18"/>
                <w:lang w:eastAsia="sl-SI"/>
              </w:rPr>
              <w:t>RE</w:t>
            </w: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521F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udeležba v medobčinskih rekreacijskih ligah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785F0E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38D4E" w14:textId="77777777" w:rsidR="00B534EC" w:rsidRPr="00B534EC" w:rsidRDefault="00B534EC" w:rsidP="00B534EC">
            <w:pPr>
              <w:jc w:val="right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sz w:val="24"/>
                <w:szCs w:val="24"/>
                <w:lang w:eastAsia="sl-SI"/>
              </w:rPr>
              <w:t>4.500,00 €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0AE7E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47,37%</w:t>
            </w:r>
          </w:p>
        </w:tc>
        <w:tc>
          <w:tcPr>
            <w:tcW w:w="9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30AB7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10,34%</w:t>
            </w:r>
          </w:p>
        </w:tc>
      </w:tr>
      <w:tr w:rsidR="00B534EC" w:rsidRPr="00B534EC" w14:paraId="6EC717A6" w14:textId="77777777" w:rsidTr="00B534EC">
        <w:trPr>
          <w:trHeight w:val="25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7EF27B41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B534EC">
              <w:rPr>
                <w:rFonts w:ascii="Calibri" w:hAnsi="Calibri" w:cs="Calibri"/>
                <w:sz w:val="18"/>
                <w:szCs w:val="18"/>
                <w:lang w:eastAsia="sl-SI"/>
              </w:rPr>
              <w:t>RE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F6360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celoletni </w:t>
            </w:r>
            <w:proofErr w:type="spellStart"/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športnorekreativni</w:t>
            </w:r>
            <w:proofErr w:type="spellEnd"/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programi 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7442FF8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10B9F" w14:textId="77777777" w:rsidR="00B534EC" w:rsidRPr="00B534EC" w:rsidRDefault="00B534EC" w:rsidP="00B534EC">
            <w:pPr>
              <w:rPr>
                <w:rFonts w:ascii="Calibri" w:hAnsi="Calibri" w:cs="Calibri"/>
                <w:sz w:val="24"/>
                <w:szCs w:val="24"/>
                <w:lang w:eastAsia="sl-SI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579406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D68C0A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</w:p>
        </w:tc>
      </w:tr>
      <w:tr w:rsidR="00B534EC" w:rsidRPr="00B534EC" w14:paraId="54E90FEF" w14:textId="77777777" w:rsidTr="00B534EC">
        <w:trPr>
          <w:trHeight w:val="25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FF0"/>
            <w:vAlign w:val="center"/>
            <w:hideMark/>
          </w:tcPr>
          <w:p w14:paraId="66E32819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B534EC">
              <w:rPr>
                <w:rFonts w:ascii="Calibri" w:hAnsi="Calibri" w:cs="Calibri"/>
                <w:sz w:val="18"/>
                <w:szCs w:val="18"/>
                <w:lang w:eastAsia="sl-SI"/>
              </w:rPr>
              <w:t>ŠSTA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63D65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celoletni </w:t>
            </w:r>
            <w:proofErr w:type="spellStart"/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športnorekreativni</w:t>
            </w:r>
            <w:proofErr w:type="spellEnd"/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programi 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FEE1E43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</w:p>
        </w:tc>
        <w:tc>
          <w:tcPr>
            <w:tcW w:w="17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0BD0A0" w14:textId="77777777" w:rsidR="00B534EC" w:rsidRPr="00B534EC" w:rsidRDefault="00B534EC" w:rsidP="00B534EC">
            <w:pPr>
              <w:rPr>
                <w:rFonts w:ascii="Calibri" w:hAnsi="Calibri" w:cs="Calibri"/>
                <w:sz w:val="24"/>
                <w:szCs w:val="24"/>
                <w:lang w:eastAsia="sl-SI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4F4D43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53D397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</w:p>
        </w:tc>
      </w:tr>
      <w:tr w:rsidR="00B534EC" w:rsidRPr="00B534EC" w14:paraId="1FF2C83C" w14:textId="77777777" w:rsidTr="00B534EC">
        <w:trPr>
          <w:trHeight w:val="25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0FAFF"/>
            <w:noWrap/>
            <w:vAlign w:val="center"/>
            <w:hideMark/>
          </w:tcPr>
          <w:p w14:paraId="0C1539FD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B534EC">
              <w:rPr>
                <w:rFonts w:ascii="Calibri" w:hAnsi="Calibri" w:cs="Calibri"/>
                <w:sz w:val="18"/>
                <w:szCs w:val="18"/>
                <w:lang w:eastAsia="sl-SI"/>
              </w:rPr>
              <w:t>ORG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E638C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delovanje športnih društev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1DB406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0C91" w14:textId="77777777" w:rsidR="00B534EC" w:rsidRPr="00B534EC" w:rsidRDefault="00B534EC" w:rsidP="00B534EC">
            <w:pPr>
              <w:jc w:val="right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sz w:val="24"/>
                <w:szCs w:val="24"/>
                <w:lang w:eastAsia="sl-SI"/>
              </w:rPr>
              <w:t>2.500,00 €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EDF8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26,32%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3C0E06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5,75%</w:t>
            </w:r>
          </w:p>
        </w:tc>
      </w:tr>
      <w:tr w:rsidR="00B534EC" w:rsidRPr="00B534EC" w14:paraId="33696702" w14:textId="77777777" w:rsidTr="00B534EC">
        <w:trPr>
          <w:trHeight w:val="25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6FAFF"/>
            <w:noWrap/>
            <w:vAlign w:val="center"/>
            <w:hideMark/>
          </w:tcPr>
          <w:p w14:paraId="3FF86749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B534EC">
              <w:rPr>
                <w:rFonts w:ascii="Calibri" w:hAnsi="Calibri" w:cs="Calibri"/>
                <w:sz w:val="18"/>
                <w:szCs w:val="18"/>
                <w:lang w:eastAsia="sl-SI"/>
              </w:rPr>
              <w:t>PRIR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F2BEB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lokalno pomembne športne prireditve </w:t>
            </w:r>
          </w:p>
        </w:tc>
        <w:tc>
          <w:tcPr>
            <w:tcW w:w="9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64AC63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63FE2" w14:textId="77777777" w:rsidR="00B534EC" w:rsidRPr="00B534EC" w:rsidRDefault="00B534EC" w:rsidP="00B534EC">
            <w:pPr>
              <w:jc w:val="right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sz w:val="24"/>
                <w:szCs w:val="24"/>
                <w:lang w:eastAsia="sl-SI"/>
              </w:rPr>
              <w:t>2.100,00 €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DACEC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22,11%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FC22F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4,83%</w:t>
            </w:r>
          </w:p>
        </w:tc>
      </w:tr>
      <w:tr w:rsidR="00B534EC" w:rsidRPr="00B534EC" w14:paraId="3E134F6D" w14:textId="77777777" w:rsidTr="00B534EC">
        <w:trPr>
          <w:trHeight w:val="255"/>
          <w:jc w:val="center"/>
        </w:trPr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6DA17AB6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color w:val="000000"/>
                <w:sz w:val="24"/>
                <w:szCs w:val="24"/>
                <w:lang w:eastAsia="sl-SI"/>
              </w:rPr>
              <w:t>SREDSTVA LPŠ ZA JAVNI RAZPIS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66ED80CA" w14:textId="77777777" w:rsidR="00B534EC" w:rsidRPr="00B534EC" w:rsidRDefault="00B534EC" w:rsidP="00B534EC">
            <w:pPr>
              <w:jc w:val="right"/>
              <w:rPr>
                <w:rFonts w:ascii="Calibri" w:hAnsi="Calibri" w:cs="Calibri"/>
                <w:sz w:val="26"/>
                <w:szCs w:val="26"/>
                <w:lang w:eastAsia="sl-SI"/>
              </w:rPr>
            </w:pPr>
            <w:r w:rsidRPr="00B534EC">
              <w:rPr>
                <w:rFonts w:ascii="Calibri" w:hAnsi="Calibri" w:cs="Calibri"/>
                <w:sz w:val="26"/>
                <w:szCs w:val="26"/>
                <w:lang w:eastAsia="sl-SI"/>
              </w:rPr>
              <w:t>9.500,00 €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4072BC25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100,00%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0CA8AD76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21,84%</w:t>
            </w:r>
          </w:p>
        </w:tc>
      </w:tr>
      <w:tr w:rsidR="00B534EC" w:rsidRPr="00B534EC" w14:paraId="393D3B18" w14:textId="77777777" w:rsidTr="00B534EC">
        <w:trPr>
          <w:trHeight w:val="25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noWrap/>
            <w:vAlign w:val="center"/>
            <w:hideMark/>
          </w:tcPr>
          <w:p w14:paraId="05DACDFC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B534EC">
              <w:rPr>
                <w:rFonts w:ascii="Calibri" w:hAnsi="Calibri" w:cs="Calibri"/>
                <w:sz w:val="18"/>
                <w:szCs w:val="18"/>
                <w:lang w:eastAsia="sl-SI"/>
              </w:rPr>
              <w:t>OBJEKTI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61CF7AB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igrišče Hudi kot: večnamenski prostor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1AAA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180511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9A06E" w14:textId="77777777" w:rsidR="00B534EC" w:rsidRPr="00B534EC" w:rsidRDefault="00B534EC" w:rsidP="00B534EC">
            <w:pPr>
              <w:jc w:val="right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sz w:val="24"/>
                <w:szCs w:val="24"/>
                <w:lang w:eastAsia="sl-SI"/>
              </w:rPr>
              <w:t>2.500,00 €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C9066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7,35%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C7D3C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5,75%</w:t>
            </w:r>
          </w:p>
        </w:tc>
      </w:tr>
      <w:tr w:rsidR="00B534EC" w:rsidRPr="00B534EC" w14:paraId="3381A2D6" w14:textId="77777777" w:rsidTr="00B534EC">
        <w:trPr>
          <w:trHeight w:val="25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noWrap/>
            <w:vAlign w:val="center"/>
            <w:hideMark/>
          </w:tcPr>
          <w:p w14:paraId="7D10C874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B534EC">
              <w:rPr>
                <w:rFonts w:ascii="Calibri" w:hAnsi="Calibri" w:cs="Calibri"/>
                <w:sz w:val="18"/>
                <w:szCs w:val="18"/>
                <w:lang w:eastAsia="sl-SI"/>
              </w:rPr>
              <w:t>OBJEKTI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7E707F3" w14:textId="77777777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športni objekti: voda in komunalne storitve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8A7DB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185030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C4756" w14:textId="77777777" w:rsidR="00B534EC" w:rsidRPr="00B534EC" w:rsidRDefault="00B534EC" w:rsidP="00B534EC">
            <w:pPr>
              <w:jc w:val="right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sz w:val="24"/>
                <w:szCs w:val="24"/>
                <w:lang w:eastAsia="sl-SI"/>
              </w:rPr>
              <w:t>1.500,00 €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92B9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4,41%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E8CEF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3,45%</w:t>
            </w:r>
          </w:p>
        </w:tc>
      </w:tr>
      <w:tr w:rsidR="00B534EC" w:rsidRPr="00B534EC" w14:paraId="55396A97" w14:textId="77777777" w:rsidTr="00B534EC">
        <w:trPr>
          <w:trHeight w:val="255"/>
          <w:jc w:val="center"/>
        </w:trPr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5FAFF"/>
            <w:noWrap/>
            <w:vAlign w:val="center"/>
            <w:hideMark/>
          </w:tcPr>
          <w:p w14:paraId="0F50C8E2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18"/>
                <w:szCs w:val="18"/>
                <w:lang w:eastAsia="sl-SI"/>
              </w:rPr>
            </w:pPr>
            <w:r w:rsidRPr="00B534EC">
              <w:rPr>
                <w:rFonts w:ascii="Calibri" w:hAnsi="Calibri" w:cs="Calibri"/>
                <w:sz w:val="18"/>
                <w:szCs w:val="18"/>
                <w:lang w:eastAsia="sl-SI"/>
              </w:rPr>
              <w:t>OBJEKTI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37311D" w14:textId="7B2978A0" w:rsidR="00B534EC" w:rsidRPr="00B534EC" w:rsidRDefault="00B534EC" w:rsidP="00B534EC">
            <w:pPr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športni objekti: tekoče vzdrževanje</w:t>
            </w:r>
            <w:r>
              <w:rPr>
                <w:rFonts w:ascii="Calibri" w:hAnsi="Calibri" w:cs="Calibri"/>
                <w:sz w:val="21"/>
                <w:szCs w:val="21"/>
                <w:lang w:eastAsia="sl-SI"/>
              </w:rPr>
              <w:t xml:space="preserve"> in obnove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E30D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185032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486F" w14:textId="77777777" w:rsidR="00B534EC" w:rsidRPr="00B534EC" w:rsidRDefault="00B534EC" w:rsidP="00B534EC">
            <w:pPr>
              <w:jc w:val="right"/>
              <w:rPr>
                <w:rFonts w:ascii="Calibri" w:hAnsi="Calibri" w:cs="Calibri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sz w:val="24"/>
                <w:szCs w:val="24"/>
                <w:lang w:eastAsia="sl-SI"/>
              </w:rPr>
              <w:t>30.000,00 €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99494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88,24%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5CBD4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68,97%</w:t>
            </w:r>
          </w:p>
        </w:tc>
      </w:tr>
      <w:tr w:rsidR="00B534EC" w:rsidRPr="00B534EC" w14:paraId="64C7F236" w14:textId="77777777" w:rsidTr="00B534EC">
        <w:trPr>
          <w:trHeight w:val="255"/>
          <w:jc w:val="center"/>
        </w:trPr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5"/>
            <w:noWrap/>
            <w:vAlign w:val="center"/>
            <w:hideMark/>
          </w:tcPr>
          <w:p w14:paraId="16BB1653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color w:val="000000"/>
                <w:sz w:val="24"/>
                <w:szCs w:val="24"/>
                <w:lang w:eastAsia="sl-SI"/>
              </w:rPr>
            </w:pPr>
            <w:r w:rsidRPr="00B534EC">
              <w:rPr>
                <w:rFonts w:ascii="Calibri" w:hAnsi="Calibri" w:cs="Calibri"/>
                <w:color w:val="000000"/>
                <w:sz w:val="24"/>
                <w:szCs w:val="24"/>
                <w:lang w:eastAsia="sl-SI"/>
              </w:rPr>
              <w:t>SREDSTVA LPŠ ZA ŠPORTNE OBJEKTE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22541E1C" w14:textId="77777777" w:rsidR="00B534EC" w:rsidRPr="00B534EC" w:rsidRDefault="00B534EC" w:rsidP="00B534EC">
            <w:pPr>
              <w:jc w:val="right"/>
              <w:rPr>
                <w:rFonts w:ascii="Calibri" w:hAnsi="Calibri" w:cs="Calibri"/>
                <w:sz w:val="26"/>
                <w:szCs w:val="26"/>
                <w:lang w:eastAsia="sl-SI"/>
              </w:rPr>
            </w:pPr>
            <w:r w:rsidRPr="00B534EC">
              <w:rPr>
                <w:rFonts w:ascii="Calibri" w:hAnsi="Calibri" w:cs="Calibri"/>
                <w:sz w:val="26"/>
                <w:szCs w:val="26"/>
                <w:lang w:eastAsia="sl-SI"/>
              </w:rPr>
              <w:t>34.000,00 €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1013D53E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100,00%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5"/>
            <w:noWrap/>
            <w:vAlign w:val="center"/>
            <w:hideMark/>
          </w:tcPr>
          <w:p w14:paraId="63E8606C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78,16%</w:t>
            </w:r>
          </w:p>
        </w:tc>
      </w:tr>
      <w:tr w:rsidR="00B534EC" w:rsidRPr="00B534EC" w14:paraId="383E922E" w14:textId="77777777" w:rsidTr="00B534EC">
        <w:trPr>
          <w:trHeight w:val="255"/>
          <w:jc w:val="center"/>
        </w:trPr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3FFCB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color w:val="000000"/>
                <w:sz w:val="28"/>
                <w:szCs w:val="28"/>
                <w:lang w:eastAsia="sl-SI"/>
              </w:rPr>
            </w:pPr>
            <w:r w:rsidRPr="00B534EC">
              <w:rPr>
                <w:rFonts w:ascii="Calibri" w:hAnsi="Calibri" w:cs="Calibri"/>
                <w:color w:val="000000"/>
                <w:sz w:val="28"/>
                <w:szCs w:val="28"/>
                <w:lang w:eastAsia="sl-SI"/>
              </w:rPr>
              <w:t xml:space="preserve">SKUPAJ PODROČJE ŠPORTA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90A73" w14:textId="77777777" w:rsidR="00B534EC" w:rsidRPr="00B534EC" w:rsidRDefault="00B534EC" w:rsidP="00B534EC">
            <w:pPr>
              <w:jc w:val="right"/>
              <w:rPr>
                <w:rFonts w:ascii="Calibri" w:hAnsi="Calibri" w:cs="Calibri"/>
                <w:color w:val="000000"/>
                <w:sz w:val="26"/>
                <w:szCs w:val="26"/>
                <w:lang w:eastAsia="sl-SI"/>
              </w:rPr>
            </w:pPr>
            <w:r w:rsidRPr="00B534EC">
              <w:rPr>
                <w:rFonts w:ascii="Calibri" w:hAnsi="Calibri" w:cs="Calibri"/>
                <w:color w:val="000000"/>
                <w:sz w:val="26"/>
                <w:szCs w:val="26"/>
                <w:lang w:eastAsia="sl-SI"/>
              </w:rPr>
              <w:t>43.500,00 €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2D9B6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6DF39" w14:textId="77777777" w:rsidR="00B534EC" w:rsidRPr="00B534EC" w:rsidRDefault="00B534EC" w:rsidP="00B534EC">
            <w:pPr>
              <w:jc w:val="center"/>
              <w:rPr>
                <w:rFonts w:ascii="Calibri" w:hAnsi="Calibri" w:cs="Calibri"/>
                <w:sz w:val="21"/>
                <w:szCs w:val="21"/>
                <w:lang w:eastAsia="sl-SI"/>
              </w:rPr>
            </w:pPr>
            <w:r w:rsidRPr="00B534EC">
              <w:rPr>
                <w:rFonts w:ascii="Calibri" w:hAnsi="Calibri" w:cs="Calibri"/>
                <w:sz w:val="21"/>
                <w:szCs w:val="21"/>
                <w:lang w:eastAsia="sl-SI"/>
              </w:rPr>
              <w:t>100,00%</w:t>
            </w:r>
          </w:p>
        </w:tc>
      </w:tr>
    </w:tbl>
    <w:p w14:paraId="21DE6A83" w14:textId="77777777" w:rsidR="00E21D36" w:rsidRPr="00425359" w:rsidRDefault="00E21D36" w:rsidP="00F146A8">
      <w:pPr>
        <w:rPr>
          <w:rFonts w:asciiTheme="minorHAnsi" w:hAnsiTheme="minorHAnsi" w:cstheme="minorHAnsi"/>
          <w:sz w:val="20"/>
        </w:rPr>
      </w:pPr>
    </w:p>
    <w:p w14:paraId="21D8B64E" w14:textId="77777777" w:rsidR="00F146A8" w:rsidRPr="007B5FCA" w:rsidRDefault="00FD6584" w:rsidP="00F146A8">
      <w:pPr>
        <w:jc w:val="center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4</w:t>
      </w:r>
      <w:r w:rsidR="00F146A8" w:rsidRPr="007B5FCA">
        <w:rPr>
          <w:rFonts w:asciiTheme="minorHAnsi" w:hAnsiTheme="minorHAnsi" w:cstheme="minorHAnsi"/>
          <w:sz w:val="21"/>
          <w:szCs w:val="21"/>
        </w:rPr>
        <w:t>. člen</w:t>
      </w:r>
    </w:p>
    <w:p w14:paraId="11D6960C" w14:textId="77777777" w:rsidR="00F146A8" w:rsidRPr="007B5FCA" w:rsidRDefault="00F146A8" w:rsidP="00F146A8">
      <w:pPr>
        <w:jc w:val="center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(načini zagotavljanja sredstev)</w:t>
      </w:r>
    </w:p>
    <w:p w14:paraId="7046F750" w14:textId="77777777" w:rsidR="00F146A8" w:rsidRPr="007B5FCA" w:rsidRDefault="00F146A8" w:rsidP="00F146A8">
      <w:pPr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Občina bo sredstva za izvedbo LPŠ zagotovila:</w:t>
      </w:r>
    </w:p>
    <w:p w14:paraId="6D8AB7AA" w14:textId="77777777" w:rsidR="00F146A8" w:rsidRPr="007B5FCA" w:rsidRDefault="00147BF8" w:rsidP="00362425">
      <w:pPr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lastRenderedPageBreak/>
        <w:t>z</w:t>
      </w:r>
      <w:r w:rsidR="00362425" w:rsidRPr="007B5FCA">
        <w:rPr>
          <w:rFonts w:asciiTheme="minorHAnsi" w:hAnsiTheme="minorHAnsi" w:cstheme="minorHAnsi"/>
          <w:sz w:val="21"/>
          <w:szCs w:val="21"/>
        </w:rPr>
        <w:t xml:space="preserve"> </w:t>
      </w:r>
      <w:r w:rsidR="00F146A8" w:rsidRPr="007B5FCA">
        <w:rPr>
          <w:rFonts w:asciiTheme="minorHAnsi" w:hAnsiTheme="minorHAnsi" w:cstheme="minorHAnsi"/>
          <w:sz w:val="21"/>
          <w:szCs w:val="21"/>
        </w:rPr>
        <w:t>izvedb</w:t>
      </w:r>
      <w:r w:rsidR="00362425" w:rsidRPr="007B5FCA">
        <w:rPr>
          <w:rFonts w:asciiTheme="minorHAnsi" w:hAnsiTheme="minorHAnsi" w:cstheme="minorHAnsi"/>
          <w:sz w:val="21"/>
          <w:szCs w:val="21"/>
        </w:rPr>
        <w:t>o</w:t>
      </w:r>
      <w:r w:rsidR="00F146A8" w:rsidRPr="007B5FCA">
        <w:rPr>
          <w:rFonts w:asciiTheme="minorHAnsi" w:hAnsiTheme="minorHAnsi" w:cstheme="minorHAnsi"/>
          <w:sz w:val="21"/>
          <w:szCs w:val="21"/>
        </w:rPr>
        <w:t xml:space="preserve"> javnega razpisa in pogodb, ki jih župan podpiše z izbranimi izvajalci</w:t>
      </w:r>
      <w:r w:rsidR="00362425" w:rsidRPr="007B5FCA">
        <w:rPr>
          <w:rFonts w:asciiTheme="minorHAnsi" w:hAnsiTheme="minorHAnsi" w:cstheme="minorHAnsi"/>
          <w:sz w:val="21"/>
          <w:szCs w:val="21"/>
        </w:rPr>
        <w:t xml:space="preserve"> (proračunsk</w:t>
      </w:r>
      <w:r w:rsidR="00A5455B" w:rsidRPr="007B5FCA">
        <w:rPr>
          <w:rFonts w:asciiTheme="minorHAnsi" w:hAnsiTheme="minorHAnsi" w:cstheme="minorHAnsi"/>
          <w:sz w:val="21"/>
          <w:szCs w:val="21"/>
        </w:rPr>
        <w:t>a</w:t>
      </w:r>
      <w:r w:rsidR="00362425" w:rsidRPr="007B5FCA">
        <w:rPr>
          <w:rFonts w:asciiTheme="minorHAnsi" w:hAnsiTheme="minorHAnsi" w:cstheme="minorHAnsi"/>
          <w:sz w:val="21"/>
          <w:szCs w:val="21"/>
        </w:rPr>
        <w:t xml:space="preserve"> postavk</w:t>
      </w:r>
      <w:r w:rsidR="00BE7BE3" w:rsidRPr="007B5FCA">
        <w:rPr>
          <w:rFonts w:asciiTheme="minorHAnsi" w:hAnsiTheme="minorHAnsi" w:cstheme="minorHAnsi"/>
          <w:sz w:val="21"/>
          <w:szCs w:val="21"/>
        </w:rPr>
        <w:t>a: 180516</w:t>
      </w:r>
      <w:r w:rsidR="00362425" w:rsidRPr="007B5FCA">
        <w:rPr>
          <w:rFonts w:asciiTheme="minorHAnsi" w:hAnsiTheme="minorHAnsi" w:cstheme="minorHAnsi"/>
          <w:sz w:val="21"/>
          <w:szCs w:val="21"/>
        </w:rPr>
        <w:t>)</w:t>
      </w:r>
      <w:r w:rsidR="00A5455B" w:rsidRPr="007B5FCA">
        <w:rPr>
          <w:rFonts w:asciiTheme="minorHAnsi" w:hAnsiTheme="minorHAnsi" w:cstheme="minorHAnsi"/>
          <w:sz w:val="21"/>
          <w:szCs w:val="21"/>
        </w:rPr>
        <w:t>,</w:t>
      </w:r>
    </w:p>
    <w:p w14:paraId="7DB4DB7B" w14:textId="77777777" w:rsidR="00A5455B" w:rsidRPr="007B5FCA" w:rsidRDefault="00147BF8" w:rsidP="00362425">
      <w:pPr>
        <w:numPr>
          <w:ilvl w:val="0"/>
          <w:numId w:val="3"/>
        </w:numPr>
        <w:jc w:val="both"/>
        <w:rPr>
          <w:rFonts w:asciiTheme="minorHAnsi" w:hAnsiTheme="minorHAnsi" w:cstheme="minorHAnsi"/>
          <w:b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n</w:t>
      </w:r>
      <w:r w:rsidR="00F146A8" w:rsidRPr="007B5FCA">
        <w:rPr>
          <w:rFonts w:asciiTheme="minorHAnsi" w:hAnsiTheme="minorHAnsi" w:cstheme="minorHAnsi"/>
          <w:sz w:val="21"/>
          <w:szCs w:val="21"/>
        </w:rPr>
        <w:t>a osnovi potrjenega programa vlaganj v športno infrastrukturo</w:t>
      </w:r>
      <w:r w:rsidR="00A5455B" w:rsidRPr="007B5FCA">
        <w:rPr>
          <w:rFonts w:asciiTheme="minorHAnsi" w:hAnsiTheme="minorHAnsi" w:cstheme="minorHAnsi"/>
          <w:sz w:val="21"/>
          <w:szCs w:val="21"/>
        </w:rPr>
        <w:t xml:space="preserve"> in/ali pogodb z upravljavci objektov</w:t>
      </w:r>
    </w:p>
    <w:p w14:paraId="1E54FF16" w14:textId="7EFF565A" w:rsidR="00F146A8" w:rsidRPr="007B5FCA" w:rsidRDefault="00362425" w:rsidP="00A5455B">
      <w:pPr>
        <w:ind w:left="360"/>
        <w:jc w:val="both"/>
        <w:rPr>
          <w:rFonts w:asciiTheme="minorHAnsi" w:hAnsiTheme="minorHAnsi" w:cstheme="minorHAnsi"/>
          <w:b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(proračunsk</w:t>
      </w:r>
      <w:r w:rsidR="00A5455B" w:rsidRPr="007B5FCA">
        <w:rPr>
          <w:rFonts w:asciiTheme="minorHAnsi" w:hAnsiTheme="minorHAnsi" w:cstheme="minorHAnsi"/>
          <w:sz w:val="21"/>
          <w:szCs w:val="21"/>
        </w:rPr>
        <w:t>e</w:t>
      </w:r>
      <w:r w:rsidRPr="007B5FCA">
        <w:rPr>
          <w:rFonts w:asciiTheme="minorHAnsi" w:hAnsiTheme="minorHAnsi" w:cstheme="minorHAnsi"/>
          <w:sz w:val="21"/>
          <w:szCs w:val="21"/>
        </w:rPr>
        <w:t xml:space="preserve"> postavk</w:t>
      </w:r>
      <w:r w:rsidR="00A5455B" w:rsidRPr="007B5FCA">
        <w:rPr>
          <w:rFonts w:asciiTheme="minorHAnsi" w:hAnsiTheme="minorHAnsi" w:cstheme="minorHAnsi"/>
          <w:sz w:val="21"/>
          <w:szCs w:val="21"/>
        </w:rPr>
        <w:t>e</w:t>
      </w:r>
      <w:r w:rsidRPr="007B5FCA">
        <w:rPr>
          <w:rFonts w:asciiTheme="minorHAnsi" w:hAnsiTheme="minorHAnsi" w:cstheme="minorHAnsi"/>
          <w:sz w:val="21"/>
          <w:szCs w:val="21"/>
        </w:rPr>
        <w:t xml:space="preserve">: </w:t>
      </w:r>
      <w:r w:rsidR="00BE7BE3" w:rsidRPr="007B5FCA">
        <w:rPr>
          <w:rFonts w:asciiTheme="minorHAnsi" w:hAnsiTheme="minorHAnsi" w:cstheme="minorHAnsi"/>
          <w:sz w:val="21"/>
          <w:szCs w:val="21"/>
        </w:rPr>
        <w:t>180511, 18503</w:t>
      </w:r>
      <w:r w:rsidR="00B534EC">
        <w:rPr>
          <w:rFonts w:asciiTheme="minorHAnsi" w:hAnsiTheme="minorHAnsi" w:cstheme="minorHAnsi"/>
          <w:sz w:val="21"/>
          <w:szCs w:val="21"/>
        </w:rPr>
        <w:t>0</w:t>
      </w:r>
      <w:r w:rsidR="00BE7BE3" w:rsidRPr="007B5FCA">
        <w:rPr>
          <w:rFonts w:asciiTheme="minorHAnsi" w:hAnsiTheme="minorHAnsi" w:cstheme="minorHAnsi"/>
          <w:sz w:val="21"/>
          <w:szCs w:val="21"/>
        </w:rPr>
        <w:t>, 18503</w:t>
      </w:r>
      <w:r w:rsidR="00B534EC">
        <w:rPr>
          <w:rFonts w:asciiTheme="minorHAnsi" w:hAnsiTheme="minorHAnsi" w:cstheme="minorHAnsi"/>
          <w:sz w:val="21"/>
          <w:szCs w:val="21"/>
        </w:rPr>
        <w:t>2</w:t>
      </w:r>
      <w:r w:rsidRPr="007B5FCA">
        <w:rPr>
          <w:rFonts w:asciiTheme="minorHAnsi" w:hAnsiTheme="minorHAnsi" w:cstheme="minorHAnsi"/>
          <w:sz w:val="21"/>
          <w:szCs w:val="21"/>
        </w:rPr>
        <w:t>).</w:t>
      </w:r>
    </w:p>
    <w:p w14:paraId="3DCABD25" w14:textId="77777777" w:rsidR="00F146A8" w:rsidRPr="007B5FCA" w:rsidRDefault="00F146A8" w:rsidP="00A5455B">
      <w:pPr>
        <w:jc w:val="both"/>
        <w:rPr>
          <w:rFonts w:asciiTheme="minorHAnsi" w:hAnsiTheme="minorHAnsi" w:cstheme="minorHAnsi"/>
          <w:color w:val="FF0000"/>
          <w:sz w:val="16"/>
          <w:szCs w:val="16"/>
        </w:rPr>
      </w:pPr>
    </w:p>
    <w:p w14:paraId="25C6F93A" w14:textId="77777777" w:rsidR="00F146A8" w:rsidRPr="007B5FCA" w:rsidRDefault="00FD6584" w:rsidP="00F146A8">
      <w:pPr>
        <w:jc w:val="center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5</w:t>
      </w:r>
      <w:r w:rsidR="00F146A8" w:rsidRPr="007B5FCA">
        <w:rPr>
          <w:rFonts w:asciiTheme="minorHAnsi" w:hAnsiTheme="minorHAnsi" w:cstheme="minorHAnsi"/>
          <w:sz w:val="21"/>
          <w:szCs w:val="21"/>
        </w:rPr>
        <w:t>. člen</w:t>
      </w:r>
    </w:p>
    <w:p w14:paraId="5D53F62B" w14:textId="77777777" w:rsidR="00F146A8" w:rsidRPr="007B5FCA" w:rsidRDefault="00F146A8" w:rsidP="00F146A8">
      <w:pPr>
        <w:jc w:val="center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(javni razpis)</w:t>
      </w:r>
    </w:p>
    <w:p w14:paraId="7917B020" w14:textId="5F3496EB" w:rsidR="00F146A8" w:rsidRPr="007B5FCA" w:rsidRDefault="00F146A8" w:rsidP="00F146A8">
      <w:pPr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 xml:space="preserve">Na osnovi sprejetega LPŠ </w:t>
      </w:r>
      <w:r w:rsidR="00B534EC">
        <w:rPr>
          <w:rFonts w:asciiTheme="minorHAnsi" w:hAnsiTheme="minorHAnsi" w:cstheme="minorHAnsi"/>
          <w:sz w:val="21"/>
          <w:szCs w:val="21"/>
        </w:rPr>
        <w:t>2025</w:t>
      </w:r>
      <w:r w:rsidRPr="007B5FCA">
        <w:rPr>
          <w:rFonts w:asciiTheme="minorHAnsi" w:hAnsiTheme="minorHAnsi" w:cstheme="minorHAnsi"/>
          <w:sz w:val="21"/>
          <w:szCs w:val="21"/>
        </w:rPr>
        <w:t xml:space="preserve"> bo občinska uprava izvedla postopke za izvedbo javnega razpisa za sofinanciranje LPŠ v občini </w:t>
      </w:r>
      <w:r w:rsidR="00774FCC" w:rsidRPr="007B5FCA">
        <w:rPr>
          <w:rFonts w:asciiTheme="minorHAnsi" w:hAnsiTheme="minorHAnsi" w:cstheme="minorHAnsi"/>
          <w:bCs/>
          <w:sz w:val="21"/>
          <w:szCs w:val="21"/>
        </w:rPr>
        <w:t>Ribnica na Pohorju</w:t>
      </w:r>
      <w:r w:rsidRPr="007B5FCA">
        <w:rPr>
          <w:rFonts w:asciiTheme="minorHAnsi" w:hAnsiTheme="minorHAnsi" w:cstheme="minorHAnsi"/>
          <w:bCs/>
          <w:sz w:val="21"/>
          <w:szCs w:val="21"/>
        </w:rPr>
        <w:t xml:space="preserve"> </w:t>
      </w:r>
      <w:r w:rsidRPr="007B5FCA">
        <w:rPr>
          <w:rFonts w:asciiTheme="minorHAnsi" w:hAnsiTheme="minorHAnsi" w:cstheme="minorHAnsi"/>
          <w:sz w:val="21"/>
          <w:szCs w:val="21"/>
        </w:rPr>
        <w:t xml:space="preserve">za leto </w:t>
      </w:r>
      <w:r w:rsidR="00B534EC">
        <w:rPr>
          <w:rFonts w:asciiTheme="minorHAnsi" w:hAnsiTheme="minorHAnsi" w:cstheme="minorHAnsi"/>
          <w:sz w:val="21"/>
          <w:szCs w:val="21"/>
        </w:rPr>
        <w:t>2025</w:t>
      </w:r>
      <w:r w:rsidRPr="007B5FCA">
        <w:rPr>
          <w:rFonts w:asciiTheme="minorHAnsi" w:hAnsiTheme="minorHAnsi" w:cstheme="minorHAnsi"/>
          <w:sz w:val="21"/>
          <w:szCs w:val="21"/>
        </w:rPr>
        <w:t>. Vrednotenje na javni razpis prispelih vlog se izvrši na osnovi pogojev</w:t>
      </w:r>
      <w:r w:rsidR="005E472B" w:rsidRPr="007B5FCA">
        <w:rPr>
          <w:rFonts w:asciiTheme="minorHAnsi" w:hAnsiTheme="minorHAnsi" w:cstheme="minorHAnsi"/>
          <w:sz w:val="21"/>
          <w:szCs w:val="21"/>
        </w:rPr>
        <w:t xml:space="preserve"> in</w:t>
      </w:r>
      <w:r w:rsidRPr="007B5FCA">
        <w:rPr>
          <w:rFonts w:asciiTheme="minorHAnsi" w:hAnsiTheme="minorHAnsi" w:cstheme="minorHAnsi"/>
          <w:sz w:val="21"/>
          <w:szCs w:val="21"/>
        </w:rPr>
        <w:t xml:space="preserve"> meril za vrednotenje</w:t>
      </w:r>
      <w:r w:rsidR="00E53572">
        <w:rPr>
          <w:rFonts w:asciiTheme="minorHAnsi" w:hAnsiTheme="minorHAnsi" w:cstheme="minorHAnsi"/>
          <w:sz w:val="21"/>
          <w:szCs w:val="21"/>
        </w:rPr>
        <w:t xml:space="preserve"> iz Odloka. Izvleček meril je sestavni del razpisne dokumentacije</w:t>
      </w:r>
      <w:r w:rsidRPr="007B5FCA">
        <w:rPr>
          <w:rFonts w:asciiTheme="minorHAnsi" w:hAnsiTheme="minorHAnsi" w:cstheme="minorHAnsi"/>
          <w:sz w:val="21"/>
          <w:szCs w:val="21"/>
        </w:rPr>
        <w:t>.</w:t>
      </w:r>
    </w:p>
    <w:p w14:paraId="1CCCBA08" w14:textId="77777777" w:rsidR="00F146A8" w:rsidRPr="007B5FCA" w:rsidRDefault="00F146A8" w:rsidP="00F146A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50988DD" w14:textId="77777777" w:rsidR="00F146A8" w:rsidRPr="007B5FCA" w:rsidRDefault="00FD6584" w:rsidP="00F146A8">
      <w:pPr>
        <w:jc w:val="center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6</w:t>
      </w:r>
      <w:r w:rsidR="00F146A8" w:rsidRPr="007B5FCA">
        <w:rPr>
          <w:rFonts w:asciiTheme="minorHAnsi" w:hAnsiTheme="minorHAnsi" w:cstheme="minorHAnsi"/>
          <w:sz w:val="21"/>
          <w:szCs w:val="21"/>
        </w:rPr>
        <w:t>. člen</w:t>
      </w:r>
    </w:p>
    <w:p w14:paraId="09D47CD3" w14:textId="77777777" w:rsidR="00F146A8" w:rsidRPr="007B5FCA" w:rsidRDefault="00F146A8" w:rsidP="00F146A8">
      <w:pPr>
        <w:jc w:val="center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(možnosti prerazporeditve sredstev LPŠ in JR)</w:t>
      </w:r>
    </w:p>
    <w:p w14:paraId="37C56BEA" w14:textId="4CB437F1" w:rsidR="00F146A8" w:rsidRPr="007B5FCA" w:rsidRDefault="00E53572" w:rsidP="00F146A8">
      <w:pPr>
        <w:jc w:val="both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Če</w:t>
      </w:r>
      <w:r w:rsidR="00F146A8" w:rsidRPr="007B5FCA">
        <w:rPr>
          <w:rFonts w:asciiTheme="minorHAnsi" w:hAnsiTheme="minorHAnsi" w:cstheme="minorHAnsi"/>
          <w:sz w:val="21"/>
          <w:szCs w:val="21"/>
        </w:rPr>
        <w:t xml:space="preserve"> komisija za izvedbo javnega razpisa v postopku </w:t>
      </w:r>
      <w:r>
        <w:rPr>
          <w:rFonts w:asciiTheme="minorHAnsi" w:hAnsiTheme="minorHAnsi" w:cstheme="minorHAnsi"/>
          <w:sz w:val="21"/>
          <w:szCs w:val="21"/>
        </w:rPr>
        <w:t xml:space="preserve">JR </w:t>
      </w:r>
      <w:r w:rsidR="00F146A8" w:rsidRPr="007B5FCA">
        <w:rPr>
          <w:rFonts w:asciiTheme="minorHAnsi" w:hAnsiTheme="minorHAnsi" w:cstheme="minorHAnsi"/>
          <w:sz w:val="21"/>
          <w:szCs w:val="21"/>
        </w:rPr>
        <w:t xml:space="preserve">ugotovi, da je število prijav </w:t>
      </w:r>
      <w:r>
        <w:rPr>
          <w:rFonts w:asciiTheme="minorHAnsi" w:hAnsiTheme="minorHAnsi" w:cstheme="minorHAnsi"/>
          <w:sz w:val="21"/>
          <w:szCs w:val="21"/>
        </w:rPr>
        <w:t>na</w:t>
      </w:r>
      <w:r w:rsidR="00F146A8" w:rsidRPr="007B5FCA">
        <w:rPr>
          <w:rFonts w:asciiTheme="minorHAnsi" w:hAnsiTheme="minorHAnsi" w:cstheme="minorHAnsi"/>
          <w:sz w:val="21"/>
          <w:szCs w:val="21"/>
        </w:rPr>
        <w:t xml:space="preserve"> posameznih področjih manjše od pričakovanj, lahko sredstva </w:t>
      </w:r>
      <w:r>
        <w:rPr>
          <w:rFonts w:asciiTheme="minorHAnsi" w:hAnsiTheme="minorHAnsi" w:cstheme="minorHAnsi"/>
          <w:sz w:val="21"/>
          <w:szCs w:val="21"/>
        </w:rPr>
        <w:t xml:space="preserve">znotraj proračunske postavke (p. p. 180516) </w:t>
      </w:r>
      <w:r w:rsidR="00F146A8" w:rsidRPr="007B5FCA">
        <w:rPr>
          <w:rFonts w:asciiTheme="minorHAnsi" w:hAnsiTheme="minorHAnsi" w:cstheme="minorHAnsi"/>
          <w:sz w:val="21"/>
          <w:szCs w:val="21"/>
        </w:rPr>
        <w:t>prerazporedi na tiste razpisan</w:t>
      </w:r>
      <w:r>
        <w:rPr>
          <w:rFonts w:asciiTheme="minorHAnsi" w:hAnsiTheme="minorHAnsi" w:cstheme="minorHAnsi"/>
          <w:sz w:val="21"/>
          <w:szCs w:val="21"/>
        </w:rPr>
        <w:t>a</w:t>
      </w:r>
      <w:r w:rsidR="00F146A8" w:rsidRPr="007B5FCA">
        <w:rPr>
          <w:rFonts w:asciiTheme="minorHAnsi" w:hAnsiTheme="minorHAnsi" w:cstheme="minorHAnsi"/>
          <w:sz w:val="21"/>
          <w:szCs w:val="21"/>
        </w:rPr>
        <w:t xml:space="preserve"> področja športa, kjer je število prijav večje od pričakovanj. </w:t>
      </w:r>
    </w:p>
    <w:p w14:paraId="2BC9D1DE" w14:textId="77777777" w:rsidR="00F146A8" w:rsidRPr="007B5FCA" w:rsidRDefault="00F146A8" w:rsidP="00F146A8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884EDAA" w14:textId="77777777" w:rsidR="00F146A8" w:rsidRPr="007B5FCA" w:rsidRDefault="00FD6584" w:rsidP="00F146A8">
      <w:pPr>
        <w:jc w:val="center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7</w:t>
      </w:r>
      <w:r w:rsidR="00F146A8" w:rsidRPr="007B5FCA">
        <w:rPr>
          <w:rFonts w:asciiTheme="minorHAnsi" w:hAnsiTheme="minorHAnsi" w:cstheme="minorHAnsi"/>
          <w:sz w:val="21"/>
          <w:szCs w:val="21"/>
        </w:rPr>
        <w:t>. člen</w:t>
      </w:r>
    </w:p>
    <w:p w14:paraId="1E9E7F8E" w14:textId="77777777" w:rsidR="00F146A8" w:rsidRPr="007B5FCA" w:rsidRDefault="00F146A8" w:rsidP="00F146A8">
      <w:pPr>
        <w:jc w:val="center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(spremembe LPŠ)</w:t>
      </w:r>
    </w:p>
    <w:p w14:paraId="41903A89" w14:textId="1AD6D645" w:rsidR="00F146A8" w:rsidRPr="007B5FCA" w:rsidRDefault="00F146A8" w:rsidP="00F146A8">
      <w:pPr>
        <w:pStyle w:val="Glava"/>
        <w:tabs>
          <w:tab w:val="clear" w:pos="4536"/>
          <w:tab w:val="clear" w:pos="9072"/>
        </w:tabs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 xml:space="preserve">Sprememba občinskega proračuna na področju športa istočasno pomeni spremembo LPŠ </w:t>
      </w:r>
      <w:r w:rsidR="00B534EC">
        <w:rPr>
          <w:rFonts w:asciiTheme="minorHAnsi" w:hAnsiTheme="minorHAnsi" w:cstheme="minorHAnsi"/>
          <w:sz w:val="21"/>
          <w:szCs w:val="21"/>
        </w:rPr>
        <w:t>2025</w:t>
      </w:r>
      <w:r w:rsidRPr="007B5FCA">
        <w:rPr>
          <w:rFonts w:asciiTheme="minorHAnsi" w:hAnsiTheme="minorHAnsi" w:cstheme="minorHAnsi"/>
          <w:sz w:val="21"/>
          <w:szCs w:val="21"/>
        </w:rPr>
        <w:t>.</w:t>
      </w:r>
    </w:p>
    <w:p w14:paraId="55226C57" w14:textId="77777777" w:rsidR="00F146A8" w:rsidRPr="007B5FCA" w:rsidRDefault="00F146A8" w:rsidP="00F146A8">
      <w:pPr>
        <w:rPr>
          <w:rFonts w:asciiTheme="minorHAnsi" w:hAnsiTheme="minorHAnsi" w:cstheme="minorHAnsi"/>
          <w:sz w:val="16"/>
          <w:szCs w:val="16"/>
        </w:rPr>
      </w:pPr>
    </w:p>
    <w:p w14:paraId="24A325E4" w14:textId="77777777" w:rsidR="00F146A8" w:rsidRPr="007B5FCA" w:rsidRDefault="00FD6584" w:rsidP="00F146A8">
      <w:pPr>
        <w:jc w:val="center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8</w:t>
      </w:r>
      <w:r w:rsidR="00F146A8" w:rsidRPr="007B5FCA">
        <w:rPr>
          <w:rFonts w:asciiTheme="minorHAnsi" w:hAnsiTheme="minorHAnsi" w:cstheme="minorHAnsi"/>
          <w:sz w:val="21"/>
          <w:szCs w:val="21"/>
        </w:rPr>
        <w:t>. člen</w:t>
      </w:r>
    </w:p>
    <w:p w14:paraId="21F15EF7" w14:textId="77777777" w:rsidR="00F146A8" w:rsidRPr="007B5FCA" w:rsidRDefault="00F146A8" w:rsidP="00F146A8">
      <w:pPr>
        <w:jc w:val="center"/>
        <w:rPr>
          <w:rFonts w:asciiTheme="minorHAnsi" w:hAnsiTheme="minorHAnsi" w:cstheme="minorHAnsi"/>
          <w:bCs/>
          <w:sz w:val="21"/>
          <w:szCs w:val="21"/>
        </w:rPr>
      </w:pPr>
      <w:r w:rsidRPr="007B5FCA">
        <w:rPr>
          <w:rFonts w:asciiTheme="minorHAnsi" w:hAnsiTheme="minorHAnsi" w:cstheme="minorHAnsi"/>
          <w:bCs/>
          <w:sz w:val="21"/>
          <w:szCs w:val="21"/>
        </w:rPr>
        <w:t>(veljavnost LPŠ)</w:t>
      </w:r>
    </w:p>
    <w:p w14:paraId="43D4F9FB" w14:textId="37F5BF2B" w:rsidR="00F146A8" w:rsidRPr="007B5FCA" w:rsidRDefault="00F146A8" w:rsidP="00F146A8">
      <w:pPr>
        <w:jc w:val="both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 xml:space="preserve">LPŠ v občini </w:t>
      </w:r>
      <w:r w:rsidR="00774FCC" w:rsidRPr="007B5FCA">
        <w:rPr>
          <w:rFonts w:asciiTheme="minorHAnsi" w:hAnsiTheme="minorHAnsi" w:cstheme="minorHAnsi"/>
          <w:bCs/>
          <w:sz w:val="21"/>
          <w:szCs w:val="21"/>
        </w:rPr>
        <w:t>Ribnica na Pohorju</w:t>
      </w:r>
      <w:r w:rsidRPr="007B5FCA">
        <w:rPr>
          <w:rFonts w:asciiTheme="minorHAnsi" w:hAnsiTheme="minorHAnsi" w:cstheme="minorHAnsi"/>
          <w:bCs/>
          <w:sz w:val="21"/>
          <w:szCs w:val="21"/>
        </w:rPr>
        <w:t xml:space="preserve"> za leto </w:t>
      </w:r>
      <w:r w:rsidR="00B534EC">
        <w:rPr>
          <w:rFonts w:asciiTheme="minorHAnsi" w:hAnsiTheme="minorHAnsi" w:cstheme="minorHAnsi"/>
          <w:bCs/>
          <w:sz w:val="21"/>
          <w:szCs w:val="21"/>
        </w:rPr>
        <w:t>2025</w:t>
      </w:r>
      <w:r w:rsidRPr="007B5FCA">
        <w:rPr>
          <w:rFonts w:asciiTheme="minorHAnsi" w:hAnsiTheme="minorHAnsi" w:cstheme="minorHAnsi"/>
          <w:bCs/>
          <w:sz w:val="21"/>
          <w:szCs w:val="21"/>
        </w:rPr>
        <w:t xml:space="preserve"> začne veljati</w:t>
      </w:r>
      <w:r w:rsidR="0029439B" w:rsidRPr="007B5FCA">
        <w:rPr>
          <w:rFonts w:asciiTheme="minorHAnsi" w:hAnsiTheme="minorHAnsi" w:cstheme="minorHAnsi"/>
          <w:bCs/>
          <w:sz w:val="21"/>
          <w:szCs w:val="21"/>
        </w:rPr>
        <w:t xml:space="preserve"> 15 dan</w:t>
      </w:r>
      <w:r w:rsidRPr="007B5FCA">
        <w:rPr>
          <w:rFonts w:asciiTheme="minorHAnsi" w:hAnsiTheme="minorHAnsi" w:cstheme="minorHAnsi"/>
          <w:bCs/>
          <w:sz w:val="21"/>
          <w:szCs w:val="21"/>
        </w:rPr>
        <w:t xml:space="preserve"> po objavi v </w:t>
      </w:r>
      <w:r w:rsidR="0029439B" w:rsidRPr="007B5FCA">
        <w:rPr>
          <w:rFonts w:asciiTheme="minorHAnsi" w:hAnsiTheme="minorHAnsi" w:cstheme="minorHAnsi"/>
          <w:bCs/>
          <w:sz w:val="21"/>
          <w:szCs w:val="21"/>
        </w:rPr>
        <w:t>Uradnem glasilu e-občina</w:t>
      </w:r>
      <w:r w:rsidRPr="007B5FCA">
        <w:rPr>
          <w:rFonts w:asciiTheme="minorHAnsi" w:hAnsiTheme="minorHAnsi" w:cstheme="minorHAnsi"/>
          <w:sz w:val="21"/>
          <w:szCs w:val="21"/>
        </w:rPr>
        <w:t>.</w:t>
      </w:r>
    </w:p>
    <w:p w14:paraId="5C86DA43" w14:textId="77777777" w:rsidR="00F146A8" w:rsidRPr="00425359" w:rsidRDefault="00F146A8" w:rsidP="00F146A8">
      <w:pPr>
        <w:rPr>
          <w:rFonts w:asciiTheme="minorHAnsi" w:hAnsiTheme="minorHAnsi" w:cstheme="minorHAnsi"/>
          <w:color w:val="FF0000"/>
          <w:sz w:val="20"/>
        </w:rPr>
      </w:pPr>
    </w:p>
    <w:p w14:paraId="3C703281" w14:textId="5FF3222B" w:rsidR="00F146A8" w:rsidRDefault="00F146A8" w:rsidP="00F146A8">
      <w:pPr>
        <w:rPr>
          <w:rFonts w:asciiTheme="minorHAnsi" w:hAnsiTheme="minorHAnsi" w:cstheme="minorHAnsi"/>
          <w:sz w:val="20"/>
        </w:rPr>
      </w:pPr>
    </w:p>
    <w:p w14:paraId="0D72B02E" w14:textId="77777777" w:rsidR="007B5FCA" w:rsidRPr="00425359" w:rsidRDefault="007B5FCA" w:rsidP="00F146A8">
      <w:pPr>
        <w:rPr>
          <w:rFonts w:asciiTheme="minorHAnsi" w:hAnsiTheme="minorHAnsi" w:cstheme="minorHAnsi"/>
          <w:sz w:val="20"/>
        </w:rPr>
      </w:pPr>
    </w:p>
    <w:p w14:paraId="374E4380" w14:textId="587CF6DE" w:rsidR="0029439B" w:rsidRPr="00FB14DF" w:rsidRDefault="002C5C88" w:rsidP="000B3940">
      <w:pPr>
        <w:jc w:val="both"/>
        <w:rPr>
          <w:rFonts w:asciiTheme="minorHAnsi" w:hAnsiTheme="minorHAnsi" w:cstheme="minorHAnsi"/>
          <w:sz w:val="21"/>
          <w:szCs w:val="21"/>
        </w:rPr>
      </w:pPr>
      <w:r w:rsidRPr="00FB14DF">
        <w:rPr>
          <w:rFonts w:asciiTheme="minorHAnsi" w:hAnsiTheme="minorHAnsi" w:cstheme="minorHAnsi"/>
          <w:sz w:val="21"/>
          <w:szCs w:val="21"/>
        </w:rPr>
        <w:t xml:space="preserve">Številka: </w:t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0B3940" w:rsidRPr="00FB14DF">
        <w:rPr>
          <w:rFonts w:asciiTheme="minorHAnsi" w:hAnsiTheme="minorHAnsi" w:cstheme="minorHAnsi"/>
          <w:sz w:val="21"/>
          <w:szCs w:val="21"/>
        </w:rPr>
        <w:t xml:space="preserve"> </w:t>
      </w:r>
    </w:p>
    <w:p w14:paraId="644A0724" w14:textId="42299E2A" w:rsidR="000B3940" w:rsidRPr="00FB14DF" w:rsidRDefault="000B3940" w:rsidP="000B3940">
      <w:pPr>
        <w:jc w:val="both"/>
        <w:rPr>
          <w:rFonts w:asciiTheme="minorHAnsi" w:hAnsiTheme="minorHAnsi" w:cstheme="minorHAnsi"/>
          <w:sz w:val="20"/>
        </w:rPr>
      </w:pPr>
      <w:r w:rsidRPr="00FB14DF">
        <w:rPr>
          <w:rFonts w:asciiTheme="minorHAnsi" w:hAnsiTheme="minorHAnsi" w:cstheme="minorHAnsi"/>
          <w:sz w:val="21"/>
          <w:szCs w:val="21"/>
        </w:rPr>
        <w:t>Datum</w:t>
      </w:r>
      <w:r w:rsidR="00B534EC" w:rsidRPr="00FB14DF">
        <w:rPr>
          <w:rFonts w:asciiTheme="minorHAnsi" w:hAnsiTheme="minorHAnsi" w:cstheme="minorHAnsi"/>
          <w:sz w:val="21"/>
          <w:szCs w:val="21"/>
        </w:rPr>
        <w:t>:</w:t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="007B5FCA" w:rsidRPr="00FB14DF">
        <w:rPr>
          <w:rFonts w:asciiTheme="minorHAnsi" w:hAnsiTheme="minorHAnsi" w:cstheme="minorHAnsi"/>
          <w:sz w:val="21"/>
          <w:szCs w:val="21"/>
        </w:rPr>
        <w:tab/>
      </w:r>
      <w:r w:rsidRPr="00FB14DF">
        <w:rPr>
          <w:rFonts w:asciiTheme="minorHAnsi" w:hAnsiTheme="minorHAnsi" w:cstheme="minorHAnsi"/>
          <w:sz w:val="20"/>
        </w:rPr>
        <w:t xml:space="preserve"> </w:t>
      </w:r>
    </w:p>
    <w:p w14:paraId="0700EDBD" w14:textId="77777777" w:rsidR="00F146A8" w:rsidRPr="00425359" w:rsidRDefault="00F146A8" w:rsidP="00F146A8">
      <w:pPr>
        <w:jc w:val="right"/>
        <w:rPr>
          <w:rFonts w:asciiTheme="minorHAnsi" w:hAnsiTheme="minorHAnsi" w:cstheme="minorHAnsi"/>
          <w:sz w:val="20"/>
        </w:rPr>
      </w:pPr>
    </w:p>
    <w:p w14:paraId="49AD103A" w14:textId="77777777" w:rsidR="00F146A8" w:rsidRPr="00425359" w:rsidRDefault="00F146A8" w:rsidP="00F146A8">
      <w:pPr>
        <w:rPr>
          <w:rFonts w:asciiTheme="minorHAnsi" w:hAnsiTheme="minorHAnsi" w:cstheme="minorHAnsi"/>
          <w:b/>
          <w:sz w:val="20"/>
        </w:rPr>
      </w:pPr>
    </w:p>
    <w:p w14:paraId="0F544D20" w14:textId="4D1784F4" w:rsidR="00362425" w:rsidRPr="00425359" w:rsidRDefault="007B5FCA" w:rsidP="007B5FCA">
      <w:pPr>
        <w:jc w:val="right"/>
        <w:rPr>
          <w:rFonts w:asciiTheme="minorHAnsi" w:hAnsiTheme="minorHAnsi" w:cstheme="minorHAnsi"/>
          <w:b/>
          <w:sz w:val="20"/>
        </w:rPr>
      </w:pPr>
      <w:r w:rsidRPr="007B5FCA">
        <w:rPr>
          <w:rFonts w:asciiTheme="minorHAnsi" w:hAnsiTheme="minorHAnsi" w:cstheme="minorHAnsi"/>
          <w:sz w:val="21"/>
          <w:szCs w:val="21"/>
        </w:rPr>
        <w:t>Župan</w:t>
      </w:r>
    </w:p>
    <w:p w14:paraId="1C9AB8F5" w14:textId="54966015" w:rsidR="007B5FCA" w:rsidRPr="007B5FCA" w:rsidRDefault="007B5FCA" w:rsidP="007B5FCA">
      <w:pPr>
        <w:jc w:val="right"/>
        <w:rPr>
          <w:rFonts w:asciiTheme="minorHAnsi" w:hAnsiTheme="minorHAnsi" w:cstheme="minorHAnsi"/>
          <w:sz w:val="21"/>
          <w:szCs w:val="21"/>
        </w:rPr>
      </w:pPr>
      <w:r w:rsidRPr="007B5FCA">
        <w:rPr>
          <w:rFonts w:asciiTheme="minorHAnsi" w:hAnsiTheme="minorHAnsi" w:cstheme="minorHAnsi"/>
          <w:sz w:val="21"/>
          <w:szCs w:val="21"/>
        </w:rPr>
        <w:t>Občine Ribnica na Pohorju</w:t>
      </w:r>
    </w:p>
    <w:p w14:paraId="301F861D" w14:textId="27F0E7A3" w:rsidR="00A5455B" w:rsidRPr="00425359" w:rsidRDefault="007B5FCA" w:rsidP="007B5FCA">
      <w:pPr>
        <w:jc w:val="right"/>
        <w:rPr>
          <w:rFonts w:asciiTheme="minorHAnsi" w:hAnsiTheme="minorHAnsi" w:cstheme="minorHAnsi"/>
          <w:b/>
          <w:sz w:val="20"/>
        </w:rPr>
      </w:pPr>
      <w:r w:rsidRPr="007B5FCA">
        <w:rPr>
          <w:rFonts w:asciiTheme="minorHAnsi" w:hAnsiTheme="minorHAnsi" w:cstheme="minorHAnsi"/>
          <w:sz w:val="21"/>
          <w:szCs w:val="21"/>
        </w:rPr>
        <w:t>Srečko Geč</w:t>
      </w:r>
    </w:p>
    <w:p w14:paraId="4468D6EF" w14:textId="77777777" w:rsidR="00A5455B" w:rsidRPr="00425359" w:rsidRDefault="00A5455B" w:rsidP="007B5FCA">
      <w:pPr>
        <w:jc w:val="right"/>
        <w:rPr>
          <w:rFonts w:asciiTheme="minorHAnsi" w:hAnsiTheme="minorHAnsi" w:cstheme="minorHAnsi"/>
          <w:b/>
          <w:sz w:val="20"/>
        </w:rPr>
      </w:pPr>
    </w:p>
    <w:p w14:paraId="050A64D9" w14:textId="77777777" w:rsidR="00323DAB" w:rsidRPr="00425359" w:rsidRDefault="00323DAB" w:rsidP="006B2ED4">
      <w:pPr>
        <w:rPr>
          <w:rFonts w:asciiTheme="minorHAnsi" w:hAnsiTheme="minorHAnsi" w:cstheme="minorHAnsi"/>
          <w:b/>
          <w:sz w:val="20"/>
        </w:rPr>
      </w:pPr>
    </w:p>
    <w:p w14:paraId="7ACB7A06" w14:textId="77777777" w:rsidR="00084D1B" w:rsidRPr="00425359" w:rsidRDefault="00084D1B" w:rsidP="006B2ED4">
      <w:pPr>
        <w:rPr>
          <w:rFonts w:asciiTheme="minorHAnsi" w:hAnsiTheme="minorHAnsi" w:cstheme="minorHAnsi"/>
          <w:b/>
          <w:sz w:val="20"/>
        </w:rPr>
      </w:pPr>
    </w:p>
    <w:p w14:paraId="6B1523ED" w14:textId="77777777" w:rsidR="00084D1B" w:rsidRPr="00425359" w:rsidRDefault="00084D1B" w:rsidP="006B2ED4">
      <w:pPr>
        <w:rPr>
          <w:rFonts w:asciiTheme="minorHAnsi" w:hAnsiTheme="minorHAnsi" w:cstheme="minorHAnsi"/>
          <w:b/>
          <w:sz w:val="20"/>
        </w:rPr>
      </w:pPr>
    </w:p>
    <w:p w14:paraId="25101CBB" w14:textId="77777777" w:rsidR="00323DAB" w:rsidRPr="00425359" w:rsidRDefault="00323DAB" w:rsidP="006B2ED4">
      <w:pPr>
        <w:rPr>
          <w:rFonts w:asciiTheme="minorHAnsi" w:hAnsiTheme="minorHAnsi" w:cstheme="minorHAnsi"/>
          <w:b/>
          <w:sz w:val="20"/>
        </w:rPr>
      </w:pPr>
    </w:p>
    <w:p w14:paraId="762AFF7B" w14:textId="77777777" w:rsidR="00C647E0" w:rsidRPr="00425359" w:rsidRDefault="00C647E0" w:rsidP="006B2ED4">
      <w:pPr>
        <w:rPr>
          <w:rFonts w:asciiTheme="minorHAnsi" w:hAnsiTheme="minorHAnsi" w:cstheme="minorHAnsi"/>
          <w:b/>
          <w:sz w:val="20"/>
        </w:rPr>
      </w:pPr>
    </w:p>
    <w:p w14:paraId="6A9811CF" w14:textId="77777777" w:rsidR="00C647E0" w:rsidRPr="00425359" w:rsidRDefault="00C647E0" w:rsidP="006B2ED4">
      <w:pPr>
        <w:rPr>
          <w:rFonts w:asciiTheme="minorHAnsi" w:hAnsiTheme="minorHAnsi" w:cstheme="minorHAnsi"/>
          <w:b/>
          <w:sz w:val="20"/>
        </w:rPr>
      </w:pPr>
    </w:p>
    <w:p w14:paraId="66F0236A" w14:textId="77777777" w:rsidR="00C647E0" w:rsidRPr="00425359" w:rsidRDefault="00C647E0" w:rsidP="006B2ED4">
      <w:pPr>
        <w:rPr>
          <w:rFonts w:asciiTheme="minorHAnsi" w:hAnsiTheme="minorHAnsi" w:cstheme="minorHAnsi"/>
          <w:b/>
          <w:sz w:val="20"/>
        </w:rPr>
      </w:pPr>
    </w:p>
    <w:p w14:paraId="258B84F5" w14:textId="77777777" w:rsidR="00C647E0" w:rsidRPr="00425359" w:rsidRDefault="00C647E0" w:rsidP="006B2ED4">
      <w:pPr>
        <w:rPr>
          <w:rFonts w:asciiTheme="minorHAnsi" w:hAnsiTheme="minorHAnsi" w:cstheme="minorHAnsi"/>
          <w:b/>
          <w:sz w:val="20"/>
        </w:rPr>
      </w:pPr>
    </w:p>
    <w:sectPr w:rsidR="00C647E0" w:rsidRPr="00425359" w:rsidSect="00F146A8">
      <w:footerReference w:type="default" r:id="rId8"/>
      <w:pgSz w:w="11906" w:h="16838"/>
      <w:pgMar w:top="964" w:right="851" w:bottom="96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2E3A92" w14:textId="77777777" w:rsidR="00AA6DCE" w:rsidRDefault="00AA6DCE">
      <w:r>
        <w:separator/>
      </w:r>
    </w:p>
  </w:endnote>
  <w:endnote w:type="continuationSeparator" w:id="0">
    <w:p w14:paraId="42A20D19" w14:textId="77777777" w:rsidR="00AA6DCE" w:rsidRDefault="00AA6D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D12BB" w14:textId="77777777" w:rsidR="00475FED" w:rsidRPr="00030299" w:rsidRDefault="00475FED" w:rsidP="00F16DFE">
    <w:pPr>
      <w:pStyle w:val="Noga"/>
      <w:pBdr>
        <w:bar w:val="single" w:sz="4" w:color="auto"/>
      </w:pBdr>
      <w:jc w:val="center"/>
      <w:rPr>
        <w:rFonts w:ascii="Times New Roman" w:hAnsi="Times New Roman"/>
        <w:b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319F55" w14:textId="77777777" w:rsidR="00AA6DCE" w:rsidRDefault="00AA6DCE">
      <w:r>
        <w:separator/>
      </w:r>
    </w:p>
  </w:footnote>
  <w:footnote w:type="continuationSeparator" w:id="0">
    <w:p w14:paraId="46F9BA8D" w14:textId="77777777" w:rsidR="00AA6DCE" w:rsidRDefault="00AA6D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A7227"/>
    <w:multiLevelType w:val="multilevel"/>
    <w:tmpl w:val="66843E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9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6FC1673"/>
    <w:multiLevelType w:val="hybridMultilevel"/>
    <w:tmpl w:val="78A23FC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A456B"/>
    <w:multiLevelType w:val="hybridMultilevel"/>
    <w:tmpl w:val="A224DE9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ED4127A"/>
    <w:multiLevelType w:val="hybridMultilevel"/>
    <w:tmpl w:val="10422CD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A726C"/>
    <w:multiLevelType w:val="hybridMultilevel"/>
    <w:tmpl w:val="A154B0E0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Lucida Sans Typewriter" w:hAnsi="Lucida Sans Typewriter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Lucida Sans Typewriter" w:hAnsi="Lucida Sans Typewriter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BF4A29"/>
    <w:multiLevelType w:val="hybridMultilevel"/>
    <w:tmpl w:val="CEB0AA9C"/>
    <w:lvl w:ilvl="0" w:tplc="FB266F7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92EBE"/>
    <w:multiLevelType w:val="hybridMultilevel"/>
    <w:tmpl w:val="02B66D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05CD7"/>
    <w:multiLevelType w:val="hybridMultilevel"/>
    <w:tmpl w:val="A448EC6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256D0"/>
    <w:multiLevelType w:val="hybridMultilevel"/>
    <w:tmpl w:val="480E916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9B4A18"/>
    <w:multiLevelType w:val="hybridMultilevel"/>
    <w:tmpl w:val="94A6338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2104C"/>
    <w:multiLevelType w:val="hybridMultilevel"/>
    <w:tmpl w:val="F18E79D0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29130528"/>
    <w:multiLevelType w:val="hybridMultilevel"/>
    <w:tmpl w:val="B9D243A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E347C7"/>
    <w:multiLevelType w:val="hybridMultilevel"/>
    <w:tmpl w:val="BCFA5BC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1C6695"/>
    <w:multiLevelType w:val="hybridMultilevel"/>
    <w:tmpl w:val="556EB91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167F8C"/>
    <w:multiLevelType w:val="hybridMultilevel"/>
    <w:tmpl w:val="E80EE32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E3A3E1D"/>
    <w:multiLevelType w:val="hybridMultilevel"/>
    <w:tmpl w:val="32F06FE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31338E"/>
    <w:multiLevelType w:val="hybridMultilevel"/>
    <w:tmpl w:val="7500DF0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3C284F"/>
    <w:multiLevelType w:val="hybridMultilevel"/>
    <w:tmpl w:val="50C02BC2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9D3321B"/>
    <w:multiLevelType w:val="hybridMultilevel"/>
    <w:tmpl w:val="01207628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A51123C"/>
    <w:multiLevelType w:val="hybridMultilevel"/>
    <w:tmpl w:val="D11473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FE22A9"/>
    <w:multiLevelType w:val="hybridMultilevel"/>
    <w:tmpl w:val="D690111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4"/>
  </w:num>
  <w:num w:numId="4">
    <w:abstractNumId w:val="9"/>
  </w:num>
  <w:num w:numId="5">
    <w:abstractNumId w:val="13"/>
  </w:num>
  <w:num w:numId="6">
    <w:abstractNumId w:val="3"/>
  </w:num>
  <w:num w:numId="7">
    <w:abstractNumId w:val="16"/>
  </w:num>
  <w:num w:numId="8">
    <w:abstractNumId w:val="0"/>
  </w:num>
  <w:num w:numId="9">
    <w:abstractNumId w:val="20"/>
  </w:num>
  <w:num w:numId="10">
    <w:abstractNumId w:val="18"/>
  </w:num>
  <w:num w:numId="11">
    <w:abstractNumId w:val="10"/>
  </w:num>
  <w:num w:numId="12">
    <w:abstractNumId w:val="15"/>
  </w:num>
  <w:num w:numId="13">
    <w:abstractNumId w:val="17"/>
  </w:num>
  <w:num w:numId="14">
    <w:abstractNumId w:val="12"/>
  </w:num>
  <w:num w:numId="15">
    <w:abstractNumId w:val="11"/>
  </w:num>
  <w:num w:numId="16">
    <w:abstractNumId w:val="7"/>
  </w:num>
  <w:num w:numId="17">
    <w:abstractNumId w:val="19"/>
  </w:num>
  <w:num w:numId="18">
    <w:abstractNumId w:val="8"/>
  </w:num>
  <w:num w:numId="19">
    <w:abstractNumId w:val="2"/>
  </w:num>
  <w:num w:numId="20">
    <w:abstractNumId w:val="6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6A8"/>
    <w:rsid w:val="000160C0"/>
    <w:rsid w:val="00084D1B"/>
    <w:rsid w:val="000978EB"/>
    <w:rsid w:val="000B3940"/>
    <w:rsid w:val="000E5E26"/>
    <w:rsid w:val="0013694A"/>
    <w:rsid w:val="00147BF8"/>
    <w:rsid w:val="00154FDF"/>
    <w:rsid w:val="00160D1D"/>
    <w:rsid w:val="001A3DD9"/>
    <w:rsid w:val="001A6D49"/>
    <w:rsid w:val="001C4E43"/>
    <w:rsid w:val="001C5929"/>
    <w:rsid w:val="001D55C6"/>
    <w:rsid w:val="001E03A8"/>
    <w:rsid w:val="001F3665"/>
    <w:rsid w:val="00224EEB"/>
    <w:rsid w:val="002558B0"/>
    <w:rsid w:val="002779B7"/>
    <w:rsid w:val="0029439B"/>
    <w:rsid w:val="002C5208"/>
    <w:rsid w:val="002C5C88"/>
    <w:rsid w:val="002F70CB"/>
    <w:rsid w:val="00323DAB"/>
    <w:rsid w:val="0035158B"/>
    <w:rsid w:val="00362425"/>
    <w:rsid w:val="00364F4B"/>
    <w:rsid w:val="00374265"/>
    <w:rsid w:val="003D61BD"/>
    <w:rsid w:val="003E2F13"/>
    <w:rsid w:val="00425359"/>
    <w:rsid w:val="00475FED"/>
    <w:rsid w:val="00484502"/>
    <w:rsid w:val="00484A1C"/>
    <w:rsid w:val="00485F77"/>
    <w:rsid w:val="004D0DC3"/>
    <w:rsid w:val="004D5E14"/>
    <w:rsid w:val="00543427"/>
    <w:rsid w:val="00546159"/>
    <w:rsid w:val="00571499"/>
    <w:rsid w:val="0058418D"/>
    <w:rsid w:val="005B0D41"/>
    <w:rsid w:val="005B3707"/>
    <w:rsid w:val="005D1AF0"/>
    <w:rsid w:val="005D56CB"/>
    <w:rsid w:val="005E472B"/>
    <w:rsid w:val="006351AC"/>
    <w:rsid w:val="00663338"/>
    <w:rsid w:val="0066452E"/>
    <w:rsid w:val="006966A6"/>
    <w:rsid w:val="006B2ED4"/>
    <w:rsid w:val="006F3A54"/>
    <w:rsid w:val="006F41FA"/>
    <w:rsid w:val="00704AAA"/>
    <w:rsid w:val="00746E4F"/>
    <w:rsid w:val="00752634"/>
    <w:rsid w:val="00774FCC"/>
    <w:rsid w:val="007954D4"/>
    <w:rsid w:val="007B5FCA"/>
    <w:rsid w:val="007C61B3"/>
    <w:rsid w:val="00813896"/>
    <w:rsid w:val="0085728D"/>
    <w:rsid w:val="0087396F"/>
    <w:rsid w:val="008B7B75"/>
    <w:rsid w:val="008D5370"/>
    <w:rsid w:val="008D7107"/>
    <w:rsid w:val="00996FC5"/>
    <w:rsid w:val="009A58D1"/>
    <w:rsid w:val="009D1F02"/>
    <w:rsid w:val="009E2C53"/>
    <w:rsid w:val="009F2B34"/>
    <w:rsid w:val="009F4772"/>
    <w:rsid w:val="00A47426"/>
    <w:rsid w:val="00A5455B"/>
    <w:rsid w:val="00A61387"/>
    <w:rsid w:val="00A64584"/>
    <w:rsid w:val="00A93261"/>
    <w:rsid w:val="00A960E0"/>
    <w:rsid w:val="00AA5B16"/>
    <w:rsid w:val="00AA6DCE"/>
    <w:rsid w:val="00AB0BE7"/>
    <w:rsid w:val="00AF5427"/>
    <w:rsid w:val="00B06C9D"/>
    <w:rsid w:val="00B07FEE"/>
    <w:rsid w:val="00B23E51"/>
    <w:rsid w:val="00B2760E"/>
    <w:rsid w:val="00B51EFD"/>
    <w:rsid w:val="00B534EC"/>
    <w:rsid w:val="00B677D8"/>
    <w:rsid w:val="00B90A35"/>
    <w:rsid w:val="00B96CA2"/>
    <w:rsid w:val="00BA1E14"/>
    <w:rsid w:val="00BD3A95"/>
    <w:rsid w:val="00BE7BE3"/>
    <w:rsid w:val="00BE7E25"/>
    <w:rsid w:val="00C43E18"/>
    <w:rsid w:val="00C47A84"/>
    <w:rsid w:val="00C647E0"/>
    <w:rsid w:val="00C75B8D"/>
    <w:rsid w:val="00CA30D2"/>
    <w:rsid w:val="00CB53CE"/>
    <w:rsid w:val="00CF761D"/>
    <w:rsid w:val="00D04835"/>
    <w:rsid w:val="00D263F5"/>
    <w:rsid w:val="00D3217B"/>
    <w:rsid w:val="00DB7AA3"/>
    <w:rsid w:val="00DC144C"/>
    <w:rsid w:val="00DE43BD"/>
    <w:rsid w:val="00E00755"/>
    <w:rsid w:val="00E10B72"/>
    <w:rsid w:val="00E21D36"/>
    <w:rsid w:val="00E53572"/>
    <w:rsid w:val="00E65E86"/>
    <w:rsid w:val="00EA2A07"/>
    <w:rsid w:val="00EA3095"/>
    <w:rsid w:val="00EB1AAE"/>
    <w:rsid w:val="00F00CCA"/>
    <w:rsid w:val="00F146A8"/>
    <w:rsid w:val="00F16DFE"/>
    <w:rsid w:val="00F17905"/>
    <w:rsid w:val="00F84EAA"/>
    <w:rsid w:val="00F8614E"/>
    <w:rsid w:val="00F914AB"/>
    <w:rsid w:val="00FA48E9"/>
    <w:rsid w:val="00FB14DF"/>
    <w:rsid w:val="00FC1E53"/>
    <w:rsid w:val="00FD6163"/>
    <w:rsid w:val="00FD6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8E2C6"/>
  <w15:chartTrackingRefBased/>
  <w15:docId w15:val="{E70110A8-5C7D-46C3-B7BD-41DFBB175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F146A8"/>
    <w:pPr>
      <w:spacing w:after="0" w:line="240" w:lineRule="auto"/>
    </w:pPr>
    <w:rPr>
      <w:rFonts w:ascii="Arial" w:eastAsia="Times New Roman" w:hAnsi="Arial" w:cs="Times New Roman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olobesedilo">
    <w:name w:val="Plain Text"/>
    <w:basedOn w:val="Navaden"/>
    <w:link w:val="GolobesediloZnak"/>
    <w:rsid w:val="00F146A8"/>
    <w:rPr>
      <w:rFonts w:ascii="Courier New" w:hAnsi="Courier New"/>
      <w:sz w:val="20"/>
    </w:rPr>
  </w:style>
  <w:style w:type="character" w:customStyle="1" w:styleId="GolobesediloZnak">
    <w:name w:val="Golo besedilo Znak"/>
    <w:basedOn w:val="Privzetapisavaodstavka"/>
    <w:link w:val="Golobesedilo"/>
    <w:rsid w:val="00F146A8"/>
    <w:rPr>
      <w:rFonts w:ascii="Courier New" w:eastAsia="Times New Roman" w:hAnsi="Courier New" w:cs="Times New Roman"/>
      <w:sz w:val="20"/>
      <w:szCs w:val="20"/>
    </w:rPr>
  </w:style>
  <w:style w:type="paragraph" w:styleId="Glava">
    <w:name w:val="header"/>
    <w:basedOn w:val="Navaden"/>
    <w:link w:val="GlavaZnak"/>
    <w:rsid w:val="00F146A8"/>
    <w:pPr>
      <w:tabs>
        <w:tab w:val="center" w:pos="4536"/>
        <w:tab w:val="right" w:pos="9072"/>
      </w:tabs>
    </w:pPr>
    <w:rPr>
      <w:sz w:val="24"/>
      <w:lang w:eastAsia="sl-SI"/>
    </w:rPr>
  </w:style>
  <w:style w:type="character" w:customStyle="1" w:styleId="GlavaZnak">
    <w:name w:val="Glava Znak"/>
    <w:basedOn w:val="Privzetapisavaodstavka"/>
    <w:link w:val="Glava"/>
    <w:rsid w:val="00F146A8"/>
    <w:rPr>
      <w:rFonts w:ascii="Arial" w:eastAsia="Times New Roman" w:hAnsi="Arial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rsid w:val="00F146A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F146A8"/>
    <w:rPr>
      <w:rFonts w:ascii="Arial" w:eastAsia="Times New Roman" w:hAnsi="Arial" w:cs="Times New Roman"/>
      <w:szCs w:val="20"/>
    </w:rPr>
  </w:style>
  <w:style w:type="paragraph" w:styleId="Brezrazmikov">
    <w:name w:val="No Spacing"/>
    <w:link w:val="BrezrazmikovZnak"/>
    <w:uiPriority w:val="1"/>
    <w:qFormat/>
    <w:rsid w:val="00F146A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rezrazmikovZnak">
    <w:name w:val="Brez razmikov Znak"/>
    <w:link w:val="Brezrazmikov"/>
    <w:uiPriority w:val="1"/>
    <w:rsid w:val="00F146A8"/>
    <w:rPr>
      <w:rFonts w:ascii="Calibri" w:eastAsia="Calibri" w:hAnsi="Calibri" w:cs="Times New Roman"/>
    </w:rPr>
  </w:style>
  <w:style w:type="paragraph" w:styleId="Odstavekseznama">
    <w:name w:val="List Paragraph"/>
    <w:basedOn w:val="Navaden"/>
    <w:uiPriority w:val="34"/>
    <w:qFormat/>
    <w:rsid w:val="00F146A8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146A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146A8"/>
    <w:rPr>
      <w:rFonts w:ascii="Segoe UI" w:eastAsia="Times New Roman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362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2">
    <w:name w:val="Body Text 2"/>
    <w:basedOn w:val="Navaden"/>
    <w:link w:val="Telobesedila2Znak"/>
    <w:semiHidden/>
    <w:unhideWhenUsed/>
    <w:rsid w:val="00FB14DF"/>
    <w:rPr>
      <w:rFonts w:cs="Arial"/>
    </w:rPr>
  </w:style>
  <w:style w:type="character" w:customStyle="1" w:styleId="Telobesedila2Znak">
    <w:name w:val="Telo besedila 2 Znak"/>
    <w:basedOn w:val="Privzetapisavaodstavka"/>
    <w:link w:val="Telobesedila2"/>
    <w:semiHidden/>
    <w:rsid w:val="00FB14DF"/>
    <w:rPr>
      <w:rFonts w:ascii="Arial" w:eastAsia="Times New Roman" w:hAnsi="Arial" w:cs="Arial"/>
      <w:szCs w:val="20"/>
    </w:rPr>
  </w:style>
  <w:style w:type="paragraph" w:customStyle="1" w:styleId="Standard">
    <w:name w:val="Standard"/>
    <w:rsid w:val="00FB14DF"/>
    <w:pPr>
      <w:suppressAutoHyphens/>
      <w:autoSpaceDN w:val="0"/>
      <w:spacing w:after="200" w:line="276" w:lineRule="auto"/>
    </w:pPr>
    <w:rPr>
      <w:rFonts w:ascii="Calibri" w:eastAsia="Calibri" w:hAnsi="Calibri" w:cs="Times New Roman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7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9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</dc:creator>
  <cp:keywords/>
  <dc:description/>
  <cp:lastModifiedBy>Občina Ribnica</cp:lastModifiedBy>
  <cp:revision>8</cp:revision>
  <cp:lastPrinted>2023-12-11T08:50:00Z</cp:lastPrinted>
  <dcterms:created xsi:type="dcterms:W3CDTF">2023-12-11T09:30:00Z</dcterms:created>
  <dcterms:modified xsi:type="dcterms:W3CDTF">2024-12-12T11:31:00Z</dcterms:modified>
</cp:coreProperties>
</file>