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ABB" w:rsidRDefault="00445ABB" w:rsidP="00445ABB">
      <w:pPr>
        <w:pStyle w:val="Brezrazmikov"/>
        <w:ind w:left="4248"/>
        <w:rPr>
          <w:rFonts w:ascii="Arial" w:hAnsi="Arial" w:cs="Arial"/>
          <w:b/>
          <w:color w:val="000000"/>
          <w:szCs w:val="22"/>
        </w:rPr>
      </w:pPr>
      <w:r w:rsidRPr="00527FD3">
        <w:rPr>
          <w:rFonts w:ascii="Arial" w:hAnsi="Arial" w:cs="Arial"/>
          <w:b/>
          <w:color w:val="000000"/>
          <w:szCs w:val="22"/>
        </w:rPr>
        <w:t xml:space="preserve">OBRAZEC 3 - SOGLASJE ZA ELEKTRONSKO </w:t>
      </w:r>
      <w:r>
        <w:rPr>
          <w:rFonts w:ascii="Arial" w:hAnsi="Arial" w:cs="Arial"/>
          <w:b/>
          <w:color w:val="000000"/>
          <w:szCs w:val="22"/>
        </w:rPr>
        <w:t xml:space="preserve"> </w:t>
      </w:r>
    </w:p>
    <w:p w:rsidR="00445ABB" w:rsidRDefault="00445ABB" w:rsidP="00445ABB">
      <w:pPr>
        <w:pStyle w:val="Brezrazmikov"/>
        <w:ind w:left="5664"/>
        <w:rPr>
          <w:rFonts w:ascii="Arial" w:hAnsi="Arial" w:cs="Arial"/>
          <w:b/>
          <w:color w:val="000000"/>
          <w:szCs w:val="22"/>
        </w:rPr>
      </w:pPr>
      <w:r w:rsidRPr="00527FD3">
        <w:rPr>
          <w:rFonts w:ascii="Arial" w:hAnsi="Arial" w:cs="Arial"/>
          <w:b/>
          <w:color w:val="000000"/>
          <w:szCs w:val="22"/>
        </w:rPr>
        <w:t>POSLOVANJE</w:t>
      </w:r>
    </w:p>
    <w:p w:rsidR="00445ABB" w:rsidRDefault="00445ABB" w:rsidP="00445ABB">
      <w:pPr>
        <w:pStyle w:val="Brezrazmikov"/>
        <w:ind w:left="5664"/>
        <w:rPr>
          <w:rFonts w:ascii="Arial" w:hAnsi="Arial" w:cs="Arial"/>
          <w:b/>
          <w:color w:val="000000"/>
          <w:szCs w:val="22"/>
        </w:rPr>
      </w:pPr>
    </w:p>
    <w:p w:rsidR="00445ABB" w:rsidRPr="006029A1" w:rsidRDefault="00445ABB" w:rsidP="00445ABB">
      <w:pPr>
        <w:pStyle w:val="Brezrazmikov"/>
        <w:ind w:left="5664"/>
        <w:rPr>
          <w:rFonts w:ascii="Arial" w:hAnsi="Arial" w:cs="Arial"/>
          <w:b/>
          <w:sz w:val="16"/>
        </w:rPr>
      </w:pPr>
    </w:p>
    <w:p w:rsidR="00445ABB" w:rsidRDefault="00445ABB" w:rsidP="00445ABB">
      <w:pPr>
        <w:pStyle w:val="Brezrazmikov"/>
        <w:rPr>
          <w:rFonts w:ascii="Arial" w:hAnsi="Arial" w:cs="Arial"/>
          <w:sz w:val="16"/>
        </w:rPr>
      </w:pPr>
      <w:r w:rsidRPr="006029A1">
        <w:rPr>
          <w:rFonts w:ascii="Arial" w:hAnsi="Arial" w:cs="Arial"/>
          <w:b/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7AF7B1B9" wp14:editId="0B69F94D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246380" cy="307340"/>
            <wp:effectExtent l="0" t="0" r="1270" b="0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29A1">
        <w:rPr>
          <w:rFonts w:ascii="Arial" w:hAnsi="Arial" w:cs="Arial"/>
          <w:b/>
        </w:rPr>
        <w:t>OBČINA RIBNICA NA POHORJU</w:t>
      </w:r>
    </w:p>
    <w:p w:rsidR="00445ABB" w:rsidRPr="006029A1" w:rsidRDefault="00445ABB" w:rsidP="00445ABB">
      <w:pPr>
        <w:pStyle w:val="Brezrazmikov"/>
        <w:rPr>
          <w:rFonts w:ascii="Arial" w:hAnsi="Arial" w:cs="Arial"/>
        </w:rPr>
      </w:pPr>
      <w:r w:rsidRPr="006029A1">
        <w:rPr>
          <w:rFonts w:ascii="Arial" w:hAnsi="Arial" w:cs="Arial"/>
          <w:sz w:val="16"/>
        </w:rPr>
        <w:t>Ribnica na Pohorju 1, 2364 Ribnica na Pohorju</w:t>
      </w:r>
      <w:r w:rsidRPr="006029A1">
        <w:rPr>
          <w:rFonts w:ascii="Arial" w:hAnsi="Arial" w:cs="Arial"/>
        </w:rPr>
        <w:tab/>
      </w:r>
      <w:r w:rsidRPr="006029A1">
        <w:rPr>
          <w:rFonts w:ascii="Arial" w:hAnsi="Arial" w:cs="Arial"/>
        </w:rPr>
        <w:tab/>
      </w:r>
      <w:r w:rsidRPr="006029A1">
        <w:rPr>
          <w:rFonts w:ascii="Arial" w:hAnsi="Arial" w:cs="Arial"/>
        </w:rPr>
        <w:tab/>
      </w:r>
      <w:r w:rsidRPr="006029A1">
        <w:rPr>
          <w:rFonts w:ascii="Arial" w:hAnsi="Arial" w:cs="Arial"/>
        </w:rPr>
        <w:tab/>
      </w:r>
    </w:p>
    <w:p w:rsidR="00445ABB" w:rsidRDefault="00445ABB" w:rsidP="00445ABB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445ABB" w:rsidRPr="006029A1" w:rsidRDefault="00445ABB" w:rsidP="00445ABB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22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029A1">
        <w:rPr>
          <w:rFonts w:ascii="Arial" w:hAnsi="Arial" w:cs="Arial"/>
          <w:b/>
          <w:color w:val="000000"/>
          <w:sz w:val="22"/>
          <w:szCs w:val="22"/>
        </w:rPr>
        <w:t>SOGLASJE ZA ELEKTRONSKO POSLOVANJE</w:t>
      </w:r>
    </w:p>
    <w:p w:rsidR="00445ABB" w:rsidRPr="00527FD3" w:rsidRDefault="00445ABB" w:rsidP="00445ABB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 w:val="8"/>
          <w:szCs w:val="22"/>
        </w:rPr>
      </w:pPr>
    </w:p>
    <w:p w:rsidR="00445ABB" w:rsidRDefault="00445ABB" w:rsidP="00445ABB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445ABB">
        <w:rPr>
          <w:rFonts w:ascii="Arial" w:hAnsi="Arial" w:cs="Arial"/>
        </w:rPr>
        <w:t>V skladu z Zakonom o splošnem upravnem postopku (</w:t>
      </w:r>
      <w:r w:rsidRPr="00445ABB">
        <w:rPr>
          <w:rFonts w:ascii="Arial" w:hAnsi="Arial" w:cs="Arial"/>
          <w:shd w:val="clear" w:color="auto" w:fill="FFFFFF"/>
        </w:rPr>
        <w:t>Uradni list RS, št. </w:t>
      </w:r>
      <w:hyperlink r:id="rId5" w:tgtFrame="_blank" w:tooltip="Zakon o splošnem upravnem postopku (ZUP) z dne 1.10.1999. Uporablja se od 1.4.200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80/99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6" w:tgtFrame="_blank" w:tooltip="Zakon o spremembi zakona o splošnem upravnem postopku (ZUP-A) z dne 8.8.2000. Uporablja se od 9.8.200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70/00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7" w:tgtFrame="_blank" w:tooltip="Zakon o dopolnitvah zakona o splošnem upravnem postopku (ZUP-B) z dne 14.6.2002. Uporablja se od 29.6.2002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52/02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8" w:tgtFrame="_blank" w:tooltip="Zakon o spremembah in dopolnitvah zakona o splošnem upravnem postopku (ZUP-C) z dne 5.7.2004. Uporablja se od 1.1.2005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73/04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9" w:tgtFrame="_blank" w:tooltip="Zakon o spremembah in dopolnitvah Zakona o splošnem upravnem postopku (ZUP-D) z dne 28.12.2005. Uporablja se od 12.1.2006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119/05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0" w:tgtFrame="_blank" w:tooltip="Zakon o upravnem sporu (ZUS-1) z dne 12.10.2006. Uporablja se od 1.1.2007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105/06 - ZUS-1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1" w:tgtFrame="_blank" w:tooltip="Zakon o spremembah in dopolnitvah Zakona o splošnem upravnem postopku (ZUP-E) z dne 31.12.2007. Uporablja se od 15.1.2008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126/07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2" w:tgtFrame="_blank" w:tooltip="Zakon o spremembi in dopolnitvah Zakona o splošnem upravnem postopku (ZUP-F) z dne 30.6.2008. Uporablja se od 15.7.2008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65/08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3" w:tgtFrame="_blank" w:tooltip="Zakon o spremembah in dopolnitvah Zakona o splošnem upravnem postopku (ZUP-G) z dne 5.2.2010. Uporablja se od 20.2.201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8/10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4" w:tgtFrame="_blank" w:tooltip="Zakon o spremembah in dopolnitvi Zakona o splošnem upravnem postopku (ZUP-H) z dne 8.10.2013. Uporablja se od 8.4.2014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82/13</w:t>
        </w:r>
      </w:hyperlink>
      <w:r w:rsidRPr="00445ABB">
        <w:rPr>
          <w:rFonts w:ascii="Arial" w:hAnsi="Arial" w:cs="Arial"/>
          <w:shd w:val="clear" w:color="auto" w:fill="FFFFFF"/>
        </w:rPr>
        <w:t>,</w:t>
      </w:r>
      <w:bookmarkStart w:id="0" w:name="_GoBack"/>
      <w:bookmarkEnd w:id="0"/>
      <w:r w:rsidRPr="00445ABB">
        <w:rPr>
          <w:rFonts w:ascii="Arial" w:hAnsi="Arial" w:cs="Arial"/>
          <w:shd w:val="clear" w:color="auto" w:fill="FFFFFF"/>
        </w:rPr>
        <w:t> </w:t>
      </w:r>
      <w:hyperlink r:id="rId15" w:tgtFrame="_blank" w:tooltip="Zakon o začasnih ukrepih v zvezi s sodnimi, upravnimi in drugimi javnopravnimi zadevami za obvladovanje širjenja nalezljive bolezni SARS-CoV-2 (COVID-19) (ZZUSUDJZ) z dne 28.3.2020. Uporablja se od 29.3.202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36/20 - ZZUSUDJZ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6" w:tgtFrame="_blank" w:tooltip="Zakon o spremembi in dopolnitvah Zakona o začasnih ukrepih v zvezi s sodnimi, upravnimi in drugimi javnopravnimi zadevami za obvladovanje širjenja nalezljive bolezni SARS-CoV-2 (COVID-19) (ZZUSUDJZ-A) z dne 30.4.2020. Uporablja se od 1.5.202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61/20 - ZZUSUDJZ-A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7" w:tgtFrame="_blank" w:tooltip="Zakon o interventnih ukrepih za omilitev posledic drugega vala epidemije COVID-19 (ZIUOPDVE) z dne 27.11.2020. Uporablja se od 28.11.202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175/20 - ZIUOPDVE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18" w:tgtFrame="_blank" w:tooltip="Zakon o debirokratizaciji (ZDeb) z dne 7.1.2022. Uporablja se od 22.1.2022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 xml:space="preserve">3/22 - </w:t>
        </w:r>
        <w:proofErr w:type="spellStart"/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ZDeb</w:t>
        </w:r>
        <w:proofErr w:type="spellEnd"/>
      </w:hyperlink>
      <w:r w:rsidRPr="00445ABB">
        <w:rPr>
          <w:rFonts w:ascii="Arial" w:hAnsi="Arial" w:cs="Arial"/>
        </w:rPr>
        <w:t>) in Uredbe o upravnem poslovanju (</w:t>
      </w:r>
      <w:r w:rsidRPr="00445ABB">
        <w:rPr>
          <w:rFonts w:ascii="Arial" w:hAnsi="Arial" w:cs="Arial"/>
          <w:shd w:val="clear" w:color="auto" w:fill="FFFFFF"/>
        </w:rPr>
        <w:t>Uradni list RS, št. </w:t>
      </w:r>
      <w:hyperlink r:id="rId19" w:tgtFrame="_blank" w:tooltip="Uredba o upravnem poslovanju z dne 16.2.2018. Uporablja se od 17.4.2018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9/18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0" w:tgtFrame="_blank" w:tooltip="Uredba o spremembah in dopolnitvah Uredbe o upravnem poslovanju z dne 6.3.2020. Uporablja se od 7.3.202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14/20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1" w:tgtFrame="_blank" w:tooltip="Uredba o spremembah in dopolnitvah Uredbe o upravnem poslovanju z dne 19.11.2020. Uporablja se od 20.11.2020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167/20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2" w:tgtFrame="_blank" w:tooltip="Uredba o spremembah in dopolnitvah Uredbe o upravnem poslovanju z dne 29.10.2021. Uporablja se od 13.11.2021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172/21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3" w:tgtFrame="_blank" w:tooltip="Uredba o spremembah in dopolnitvah Uredbe o upravnem poslovanju z dne 13.5.2022. Uporablja se od 28.5.2022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68/22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4" w:tgtFrame="_blank" w:tooltip="Uredba o spremembah in dopolnitvah Uredbe o upravnem poslovanju z dne 1.7.2022. Uporablja se od 16.7.2022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89/22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5" w:tgtFrame="_blank" w:tooltip="Uredba o dopolnitvi Uredbe o upravnem poslovanju z dne 21.10.2022. Uporablja se od 22.10.2022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135/22</w:t>
        </w:r>
      </w:hyperlink>
      <w:r w:rsidRPr="00445ABB">
        <w:rPr>
          <w:rFonts w:ascii="Arial" w:hAnsi="Arial" w:cs="Arial"/>
          <w:shd w:val="clear" w:color="auto" w:fill="FFFFFF"/>
        </w:rPr>
        <w:t>, </w:t>
      </w:r>
      <w:hyperlink r:id="rId26" w:tgtFrame="_blank" w:tooltip="Uredba o dopolnitvi Uredbe o upravnem poslovanju z dne 14.7.2023. Uporablja se od 15.7.2023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77/23</w:t>
        </w:r>
      </w:hyperlink>
      <w:r w:rsidRPr="00445ABB">
        <w:rPr>
          <w:rFonts w:ascii="Arial" w:hAnsi="Arial" w:cs="Arial"/>
          <w:shd w:val="clear" w:color="auto" w:fill="FFFFFF"/>
        </w:rPr>
        <w:t xml:space="preserve">, </w:t>
      </w:r>
      <w:hyperlink r:id="rId27" w:tgtFrame="_blank" w:tooltip="Uredba o spremembi Uredbe o upravnem poslovanju z dne 22.3.2024. Uporablja se od 6.4.2024" w:history="1">
        <w:r w:rsidRPr="00445ABB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24/24</w:t>
        </w:r>
      </w:hyperlink>
      <w:r w:rsidRPr="00445ABB">
        <w:rPr>
          <w:rFonts w:ascii="Arial" w:hAnsi="Arial" w:cs="Arial"/>
        </w:rPr>
        <w:t xml:space="preserve">) </w:t>
      </w:r>
      <w:r w:rsidRPr="006029A1">
        <w:rPr>
          <w:rFonts w:ascii="Arial" w:hAnsi="Arial" w:cs="Arial"/>
        </w:rPr>
        <w:t xml:space="preserve">soglašamo, da nam Občina Ribnica na Pohorju  (v nadaljevanju občina) pošilja obvestila in dokumente, vezane na izvajanje Javnega razpisa </w:t>
      </w:r>
      <w:r w:rsidRPr="006029A1">
        <w:rPr>
          <w:rFonts w:ascii="Arial" w:hAnsi="Arial" w:cs="Arial"/>
          <w:b/>
          <w:u w:val="single"/>
        </w:rPr>
        <w:t xml:space="preserve">za </w:t>
      </w:r>
      <w:r>
        <w:rPr>
          <w:rFonts w:ascii="Arial" w:hAnsi="Arial" w:cs="Arial"/>
          <w:b/>
          <w:u w:val="single"/>
        </w:rPr>
        <w:t>izbiro in sofinanciranje kulturnih programov in projektov v Občini Ribnica na Pohorju v letu 2025</w:t>
      </w:r>
      <w:r w:rsidRPr="006029A1">
        <w:rPr>
          <w:rFonts w:ascii="Arial" w:hAnsi="Arial" w:cs="Arial"/>
          <w:b/>
        </w:rPr>
        <w:t xml:space="preserve"> </w:t>
      </w:r>
      <w:r w:rsidRPr="006029A1">
        <w:rPr>
          <w:rFonts w:ascii="Arial" w:hAnsi="Arial" w:cs="Arial"/>
        </w:rPr>
        <w:t xml:space="preserve">na elektronski naslov, naveden v tabeli Kontaktni podatki. </w:t>
      </w: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ind w:left="284"/>
        <w:rPr>
          <w:rFonts w:ascii="Arial" w:hAnsi="Arial" w:cs="Arial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ind w:left="284"/>
        <w:rPr>
          <w:rFonts w:ascii="Arial" w:hAnsi="Arial" w:cs="Arial"/>
        </w:rPr>
      </w:pPr>
      <w:r w:rsidRPr="006029A1">
        <w:rPr>
          <w:rFonts w:ascii="Arial" w:hAnsi="Arial" w:cs="Arial"/>
        </w:rPr>
        <w:t xml:space="preserve">Vsi dokumenti v elektronski obliki se posredujejo na </w:t>
      </w:r>
      <w:hyperlink r:id="rId28" w:history="1">
        <w:r w:rsidRPr="006029A1">
          <w:rPr>
            <w:rStyle w:val="Hiperpovezava"/>
            <w:rFonts w:ascii="Arial" w:hAnsi="Arial" w:cs="Arial"/>
          </w:rPr>
          <w:t>obcina@ribnicanapohorju.si</w:t>
        </w:r>
      </w:hyperlink>
      <w:r w:rsidRPr="006029A1">
        <w:rPr>
          <w:rFonts w:ascii="Arial" w:hAnsi="Arial" w:cs="Arial"/>
        </w:rPr>
        <w:t>. Vsi dokumenti se hranijo v elektronski obliki.</w:t>
      </w: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ind w:left="284"/>
        <w:rPr>
          <w:rFonts w:ascii="Arial" w:hAnsi="Arial" w:cs="Arial"/>
        </w:rPr>
      </w:pPr>
    </w:p>
    <w:p w:rsidR="00445ABB" w:rsidRPr="006029A1" w:rsidRDefault="00445ABB" w:rsidP="00445ABB">
      <w:pPr>
        <w:tabs>
          <w:tab w:val="left" w:pos="1650"/>
        </w:tabs>
        <w:autoSpaceDE w:val="0"/>
        <w:autoSpaceDN w:val="0"/>
        <w:adjustRightInd w:val="0"/>
        <w:ind w:left="284"/>
        <w:rPr>
          <w:rFonts w:ascii="Arial" w:hAnsi="Arial" w:cs="Arial"/>
        </w:rPr>
      </w:pPr>
      <w:r w:rsidRPr="006029A1">
        <w:rPr>
          <w:rFonts w:ascii="Arial" w:hAnsi="Arial" w:cs="Arial"/>
        </w:rPr>
        <w:t>Kontaktni podatki:</w:t>
      </w:r>
    </w:p>
    <w:tbl>
      <w:tblPr>
        <w:tblStyle w:val="Tabelamrea"/>
        <w:tblW w:w="0" w:type="auto"/>
        <w:tblInd w:w="421" w:type="dxa"/>
        <w:tblLook w:val="04A0" w:firstRow="1" w:lastRow="0" w:firstColumn="1" w:lastColumn="0" w:noHBand="0" w:noVBand="1"/>
      </w:tblPr>
      <w:tblGrid>
        <w:gridCol w:w="3278"/>
        <w:gridCol w:w="5363"/>
      </w:tblGrid>
      <w:tr w:rsidR="00445ABB" w:rsidRPr="006029A1" w:rsidTr="005A75F8">
        <w:tc>
          <w:tcPr>
            <w:tcW w:w="3685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</w:rPr>
              <w:t>Upravičenec:</w:t>
            </w:r>
          </w:p>
        </w:tc>
        <w:tc>
          <w:tcPr>
            <w:tcW w:w="6350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29A1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6029A1">
              <w:rPr>
                <w:rFonts w:ascii="Arial" w:hAnsi="Arial" w:cs="Arial"/>
                <w:b/>
                <w:u w:val="single"/>
              </w:rPr>
            </w:r>
            <w:r w:rsidRPr="006029A1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u w:val="single"/>
              </w:rPr>
              <w:fldChar w:fldCharType="end"/>
            </w:r>
          </w:p>
        </w:tc>
      </w:tr>
      <w:tr w:rsidR="00445ABB" w:rsidRPr="006029A1" w:rsidTr="005A75F8">
        <w:tc>
          <w:tcPr>
            <w:tcW w:w="3685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</w:rPr>
              <w:t>Ime in priimek odgovorne osebe upravičenca:</w:t>
            </w:r>
          </w:p>
        </w:tc>
        <w:tc>
          <w:tcPr>
            <w:tcW w:w="6350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29A1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6029A1">
              <w:rPr>
                <w:rFonts w:ascii="Arial" w:hAnsi="Arial" w:cs="Arial"/>
                <w:b/>
                <w:u w:val="single"/>
              </w:rPr>
            </w:r>
            <w:r w:rsidRPr="006029A1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u w:val="single"/>
              </w:rPr>
              <w:fldChar w:fldCharType="end"/>
            </w:r>
          </w:p>
        </w:tc>
      </w:tr>
      <w:tr w:rsidR="00445ABB" w:rsidRPr="006029A1" w:rsidTr="005A75F8">
        <w:tc>
          <w:tcPr>
            <w:tcW w:w="3685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</w:rPr>
              <w:t xml:space="preserve">Naslov varnega e-predala (v kolikor obstaja) oziroma e-poštni naslov, na katerega posredujemo dokumente v elektronski obliki: </w:t>
            </w:r>
          </w:p>
        </w:tc>
        <w:tc>
          <w:tcPr>
            <w:tcW w:w="6350" w:type="dxa"/>
          </w:tcPr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45ABB" w:rsidRPr="006029A1" w:rsidRDefault="00445ABB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29A1">
              <w:rPr>
                <w:rFonts w:ascii="Arial" w:hAnsi="Arial" w:cs="Arial"/>
                <w:b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29A1">
              <w:rPr>
                <w:rFonts w:ascii="Arial" w:hAnsi="Arial" w:cs="Arial"/>
                <w:b/>
                <w:u w:val="single"/>
              </w:rPr>
              <w:instrText xml:space="preserve"> FORMTEXT </w:instrText>
            </w:r>
            <w:r w:rsidRPr="006029A1">
              <w:rPr>
                <w:rFonts w:ascii="Arial" w:hAnsi="Arial" w:cs="Arial"/>
                <w:b/>
                <w:u w:val="single"/>
              </w:rPr>
            </w:r>
            <w:r w:rsidRPr="006029A1">
              <w:rPr>
                <w:rFonts w:ascii="Arial" w:hAnsi="Arial" w:cs="Arial"/>
                <w:b/>
                <w:u w:val="single"/>
              </w:rPr>
              <w:fldChar w:fldCharType="separate"/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noProof/>
                <w:u w:val="single"/>
              </w:rPr>
              <w:t> </w:t>
            </w:r>
            <w:r w:rsidRPr="006029A1">
              <w:rPr>
                <w:rFonts w:ascii="Arial" w:hAnsi="Arial" w:cs="Arial"/>
                <w:b/>
                <w:u w:val="single"/>
              </w:rPr>
              <w:fldChar w:fldCharType="end"/>
            </w:r>
          </w:p>
        </w:tc>
      </w:tr>
    </w:tbl>
    <w:p w:rsidR="00445ABB" w:rsidRDefault="00445ABB" w:rsidP="00445ABB">
      <w:pPr>
        <w:tabs>
          <w:tab w:val="left" w:pos="1650"/>
        </w:tabs>
        <w:autoSpaceDE w:val="0"/>
        <w:autoSpaceDN w:val="0"/>
        <w:adjustRightInd w:val="0"/>
        <w:rPr>
          <w:rFonts w:cs="Arial"/>
        </w:rPr>
      </w:pPr>
    </w:p>
    <w:p w:rsidR="00445ABB" w:rsidRDefault="00445ABB" w:rsidP="00445ABB">
      <w:pPr>
        <w:tabs>
          <w:tab w:val="left" w:pos="1650"/>
        </w:tabs>
        <w:autoSpaceDE w:val="0"/>
        <w:autoSpaceDN w:val="0"/>
        <w:adjustRightInd w:val="0"/>
        <w:rPr>
          <w:rFonts w:cs="Arial"/>
        </w:rPr>
      </w:pPr>
    </w:p>
    <w:p w:rsidR="00445ABB" w:rsidRPr="00A929EC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  <w:r w:rsidRPr="00A929EC">
        <w:rPr>
          <w:rFonts w:cs="Arial"/>
          <w:color w:val="000000"/>
          <w:sz w:val="22"/>
          <w:szCs w:val="22"/>
        </w:rPr>
        <w:t xml:space="preserve">S soglasjem jamčimo za točnost navedenega elektronskega naslova in ostalih podatkov ter se zavezujemo, da bomo občino obvestili o njihovi morebitni spremembi. Seznanjeni smo, da lahko to soglasje kadarkoli umaknemo s pisno zahtevo, poslano na občino. </w:t>
      </w:r>
    </w:p>
    <w:p w:rsidR="00445ABB" w:rsidRPr="00A929EC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Pr="0065488D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Pr="0065488D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Pr="0065488D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  <w:r w:rsidRPr="0065488D">
        <w:rPr>
          <w:rFonts w:cs="Arial"/>
          <w:color w:val="000000"/>
          <w:sz w:val="22"/>
          <w:szCs w:val="22"/>
        </w:rPr>
        <w:t xml:space="preserve">Dne: </w:t>
      </w:r>
      <w:r>
        <w:rPr>
          <w:rFonts w:cs="Arial"/>
          <w:b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  <w:b/>
          <w:u w:val="single"/>
        </w:rPr>
        <w:instrText xml:space="preserve"> FORMTEXT </w:instrText>
      </w:r>
      <w:r>
        <w:rPr>
          <w:rFonts w:cs="Arial"/>
          <w:b/>
          <w:u w:val="single"/>
        </w:rPr>
      </w:r>
      <w:r>
        <w:rPr>
          <w:rFonts w:cs="Arial"/>
          <w:b/>
          <w:u w:val="single"/>
        </w:rPr>
        <w:fldChar w:fldCharType="separate"/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u w:val="single"/>
        </w:rPr>
        <w:fldChar w:fldCharType="end"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  <w:t>Podpis odgovorne osebe:</w:t>
      </w:r>
    </w:p>
    <w:p w:rsidR="00445ABB" w:rsidRPr="0065488D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Pr="0065488D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</w:r>
      <w:r w:rsidRPr="0065488D">
        <w:rPr>
          <w:rFonts w:cs="Arial"/>
          <w:color w:val="000000"/>
          <w:sz w:val="22"/>
          <w:szCs w:val="22"/>
        </w:rPr>
        <w:tab/>
        <w:t>(Žig)</w:t>
      </w:r>
    </w:p>
    <w:p w:rsidR="00445ABB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445ABB" w:rsidRDefault="00445ABB" w:rsidP="00445ABB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DD3DF0" w:rsidRDefault="00DD3DF0"/>
    <w:sectPr w:rsidR="00DD3DF0" w:rsidSect="00445AB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11"/>
    <w:rsid w:val="00445ABB"/>
    <w:rsid w:val="00B65A11"/>
    <w:rsid w:val="00DD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3FE8F-CE39-4164-96F8-CB17873B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45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45ABB"/>
    <w:pPr>
      <w:spacing w:line="260" w:lineRule="atLeast"/>
      <w:ind w:left="720"/>
      <w:contextualSpacing/>
    </w:pPr>
    <w:rPr>
      <w:rFonts w:ascii="Arial" w:hAnsi="Arial"/>
      <w:szCs w:val="24"/>
    </w:rPr>
  </w:style>
  <w:style w:type="character" w:styleId="Hiperpovezava">
    <w:name w:val="Hyperlink"/>
    <w:basedOn w:val="Privzetapisavaodstavka"/>
    <w:uiPriority w:val="99"/>
    <w:unhideWhenUsed/>
    <w:rsid w:val="00445ABB"/>
    <w:rPr>
      <w:color w:val="0563C1" w:themeColor="hyperlink"/>
      <w:u w:val="single"/>
    </w:rPr>
  </w:style>
  <w:style w:type="paragraph" w:styleId="Brezrazmikov">
    <w:name w:val="No Spacing"/>
    <w:uiPriority w:val="1"/>
    <w:qFormat/>
    <w:rsid w:val="00445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Tabelamrea">
    <w:name w:val="Table Grid"/>
    <w:basedOn w:val="Navadnatabela"/>
    <w:uiPriority w:val="39"/>
    <w:rsid w:val="00445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x-fin-lex.si/Dokument/Podrobnosti?rootEntityId=aE_c0a65428-69e5-4740-87c2-9b0b364ccc77" TargetMode="External"/><Relationship Id="rId13" Type="http://schemas.openxmlformats.org/officeDocument/2006/relationships/hyperlink" Target="https://www.tax-fin-lex.si/Dokument/Podrobnosti?rootEntityId=51365105-56b7-4799-a595-7fd8c2aed4df" TargetMode="External"/><Relationship Id="rId18" Type="http://schemas.openxmlformats.org/officeDocument/2006/relationships/hyperlink" Target="https://www.tax-fin-lex.si/Dokument/Podrobnosti?rootEntityId=0abb08a1-4cc3-4c24-b3dc-af38c900008b" TargetMode="External"/><Relationship Id="rId26" Type="http://schemas.openxmlformats.org/officeDocument/2006/relationships/hyperlink" Target="https://www.tax-fin-lex.si/Dokument/Podrobnosti?rootEntityId=cf8608cc-0153-4e4f-850f-1fdd29de6cc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tax-fin-lex.si/Dokument/Podrobnosti?rootEntityId=cfbde470-cac8-4234-b697-cb94a0734a8a" TargetMode="External"/><Relationship Id="rId7" Type="http://schemas.openxmlformats.org/officeDocument/2006/relationships/hyperlink" Target="https://www.tax-fin-lex.si/Dokument/Podrobnosti?rootEntityId=aE_e8fcb8d1-d0e3-4d30-a161-c08fa988b4ab" TargetMode="External"/><Relationship Id="rId12" Type="http://schemas.openxmlformats.org/officeDocument/2006/relationships/hyperlink" Target="https://www.tax-fin-lex.si/Dokument/Podrobnosti?rootEntityId=bd0f3947-ee7b-4789-8799-a6778ed8ddde" TargetMode="External"/><Relationship Id="rId17" Type="http://schemas.openxmlformats.org/officeDocument/2006/relationships/hyperlink" Target="https://www.tax-fin-lex.si/Dokument/Podrobnosti?rootEntityId=16bf06d3-cc04-4035-a363-c725ccb7e6f8" TargetMode="External"/><Relationship Id="rId25" Type="http://schemas.openxmlformats.org/officeDocument/2006/relationships/hyperlink" Target="https://www.tax-fin-lex.si/Dokument/Podrobnosti?rootEntityId=5fefcd80-7dd0-438c-a34d-e8fccd48c8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tax-fin-lex.si/Dokument/Podrobnosti?rootEntityId=08b129c3-378d-4e71-bef2-dda923c342c3" TargetMode="External"/><Relationship Id="rId20" Type="http://schemas.openxmlformats.org/officeDocument/2006/relationships/hyperlink" Target="https://www.tax-fin-lex.si/Dokument/Podrobnosti?rootEntityId=72962d64-8ded-4391-a609-fea2aa75b723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tax-fin-lex.si/Dokument/Podrobnosti?rootEntityId=aE_28c53b0b-7e66-4bed-af4e-8697631c836f" TargetMode="External"/><Relationship Id="rId11" Type="http://schemas.openxmlformats.org/officeDocument/2006/relationships/hyperlink" Target="https://www.tax-fin-lex.si/Dokument/Podrobnosti?rootEntityId=aE_5117927f-a30a-4f97-abe0-155c7a56e554" TargetMode="External"/><Relationship Id="rId24" Type="http://schemas.openxmlformats.org/officeDocument/2006/relationships/hyperlink" Target="https://www.tax-fin-lex.si/Dokument/Podrobnosti?rootEntityId=d01ea1d9-6042-4690-8dd2-b9136bbbc2a7" TargetMode="External"/><Relationship Id="rId5" Type="http://schemas.openxmlformats.org/officeDocument/2006/relationships/hyperlink" Target="https://www.tax-fin-lex.si/Dokument/Podrobnosti?rootEntityId=E_349d8bb0-48b6-4c23-8da6-8e5ae0a73d49" TargetMode="External"/><Relationship Id="rId15" Type="http://schemas.openxmlformats.org/officeDocument/2006/relationships/hyperlink" Target="https://www.tax-fin-lex.si/Dokument/Podrobnosti?rootEntityId=9e1968c1-8a92-43fe-a408-e295408c5977" TargetMode="External"/><Relationship Id="rId23" Type="http://schemas.openxmlformats.org/officeDocument/2006/relationships/hyperlink" Target="https://www.tax-fin-lex.si/Dokument/Podrobnosti?rootEntityId=151f8fc8-5433-4c5c-8e3b-11424909b984" TargetMode="External"/><Relationship Id="rId28" Type="http://schemas.openxmlformats.org/officeDocument/2006/relationships/hyperlink" Target="mailto:obcina@ribnicanapohorju.si" TargetMode="External"/><Relationship Id="rId10" Type="http://schemas.openxmlformats.org/officeDocument/2006/relationships/hyperlink" Target="https://www.tax-fin-lex.si/Dokument/Podrobnosti?rootEntityId=aE_f1c05e1e-39c8-48de-992f-5a5d55ba237a" TargetMode="External"/><Relationship Id="rId19" Type="http://schemas.openxmlformats.org/officeDocument/2006/relationships/hyperlink" Target="https://www.tax-fin-lex.si/Dokument/Podrobnosti?rootEntityId=a3a7c57e-e3c5-4832-b611-77c9f16ee686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tax-fin-lex.si/Dokument/Podrobnosti?rootEntityId=aE_459ca51e-c2a1-4901-8ad2-4362f7b9ec17" TargetMode="External"/><Relationship Id="rId14" Type="http://schemas.openxmlformats.org/officeDocument/2006/relationships/hyperlink" Target="https://www.tax-fin-lex.si/Dokument/Podrobnosti?rootEntityId=26529fde-907b-45ac-9dfb-d2e443a550e7" TargetMode="External"/><Relationship Id="rId22" Type="http://schemas.openxmlformats.org/officeDocument/2006/relationships/hyperlink" Target="https://www.tax-fin-lex.si/Dokument/Podrobnosti?rootEntityId=a96e6a89-e3d1-4e87-8b7a-67b16e4e8514" TargetMode="External"/><Relationship Id="rId27" Type="http://schemas.openxmlformats.org/officeDocument/2006/relationships/hyperlink" Target="https://www.tax-fin-lex.si/Dokument/Podrobnosti?rootEntityId=55a6cbe3-d354-42b4-90a8-ee9c65eb274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6174</Characters>
  <Application>Microsoft Office Word</Application>
  <DocSecurity>0</DocSecurity>
  <Lines>51</Lines>
  <Paragraphs>14</Paragraphs>
  <ScaleCrop>false</ScaleCrop>
  <Company/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2</cp:revision>
  <dcterms:created xsi:type="dcterms:W3CDTF">2025-01-15T09:14:00Z</dcterms:created>
  <dcterms:modified xsi:type="dcterms:W3CDTF">2025-01-15T09:15:00Z</dcterms:modified>
</cp:coreProperties>
</file>